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7" w:rsidRPr="00C83634" w:rsidRDefault="00A051BA" w:rsidP="007E07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34">
        <w:rPr>
          <w:rFonts w:ascii="Times New Roman" w:hAnsi="Times New Roman" w:cs="Times New Roman"/>
          <w:b/>
          <w:sz w:val="32"/>
          <w:szCs w:val="32"/>
        </w:rPr>
        <w:t>Забрана</w:t>
      </w:r>
      <w:r w:rsidRPr="00C83634">
        <w:rPr>
          <w:rFonts w:ascii="Times New Roman" w:eastAsia="Calibri" w:hAnsi="Times New Roman" w:cs="Times New Roman"/>
          <w:b/>
          <w:sz w:val="32"/>
          <w:szCs w:val="32"/>
        </w:rPr>
        <w:t xml:space="preserve"> за търговия с </w:t>
      </w:r>
      <w:r w:rsidR="00F96858">
        <w:rPr>
          <w:rFonts w:ascii="Times New Roman" w:eastAsia="Calibri" w:hAnsi="Times New Roman" w:cs="Times New Roman"/>
          <w:b/>
          <w:sz w:val="32"/>
          <w:szCs w:val="32"/>
        </w:rPr>
        <w:t>културното наследство на</w:t>
      </w:r>
      <w:r w:rsidRPr="00C83634">
        <w:rPr>
          <w:rFonts w:ascii="Times New Roman" w:eastAsia="Calibri" w:hAnsi="Times New Roman" w:cs="Times New Roman"/>
          <w:b/>
          <w:sz w:val="32"/>
          <w:szCs w:val="32"/>
        </w:rPr>
        <w:t xml:space="preserve"> Ирак</w:t>
      </w:r>
    </w:p>
    <w:p w:rsidR="00A051BA" w:rsidRDefault="00BE5F2E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96">
        <w:rPr>
          <w:rFonts w:ascii="Times New Roman" w:hAnsi="Times New Roman" w:cs="Times New Roman"/>
          <w:b/>
          <w:sz w:val="24"/>
          <w:szCs w:val="24"/>
          <w:u w:val="single"/>
        </w:rPr>
        <w:t>Законодателство</w:t>
      </w:r>
    </w:p>
    <w:p w:rsidR="00BB67F9" w:rsidRPr="007E0796" w:rsidRDefault="00BB67F9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F2E" w:rsidRDefault="00BE5F2E" w:rsidP="0035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2E">
        <w:rPr>
          <w:rFonts w:ascii="Times New Roman" w:hAnsi="Times New Roman" w:cs="Times New Roman"/>
          <w:sz w:val="24"/>
          <w:szCs w:val="24"/>
        </w:rPr>
        <w:t xml:space="preserve">- </w:t>
      </w:r>
      <w:r w:rsidRPr="00BE5F2E">
        <w:rPr>
          <w:rFonts w:ascii="Times New Roman" w:hAnsi="Times New Roman" w:cs="Times New Roman"/>
          <w:b/>
          <w:bCs/>
          <w:sz w:val="24"/>
          <w:szCs w:val="24"/>
        </w:rPr>
        <w:t>Регламент (ЕО) № 1210/2003</w:t>
      </w:r>
      <w:r w:rsidRPr="00BE5F2E">
        <w:rPr>
          <w:rFonts w:ascii="Times New Roman" w:hAnsi="Times New Roman" w:cs="Times New Roman"/>
          <w:sz w:val="24"/>
          <w:szCs w:val="24"/>
        </w:rPr>
        <w:t xml:space="preserve"> на Съвета от 7 юли 2003 година относно определени специфични ограничения върху икономическите и финансовите отношения с Ирак и за отмяна на Регламент (ЕО) № 2465/96 (в частта за опазване на културно-историческото наследство на Ирак);</w:t>
      </w:r>
    </w:p>
    <w:p w:rsidR="00BE5F2E" w:rsidRDefault="00BE5F2E" w:rsidP="00351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E5F2E">
        <w:rPr>
          <w:rFonts w:ascii="Times New Roman" w:hAnsi="Times New Roman" w:cs="Times New Roman"/>
          <w:b/>
          <w:color w:val="000000"/>
          <w:sz w:val="24"/>
          <w:szCs w:val="24"/>
        </w:rPr>
        <w:t>Резолюция 2199 (2015)</w:t>
      </w:r>
      <w:r w:rsidRPr="00BE5F2E">
        <w:rPr>
          <w:rFonts w:ascii="Times New Roman" w:hAnsi="Times New Roman" w:cs="Times New Roman"/>
          <w:color w:val="000000"/>
          <w:sz w:val="24"/>
          <w:szCs w:val="24"/>
        </w:rPr>
        <w:t xml:space="preserve"> на Съвета за сигурност на ООН</w:t>
      </w:r>
      <w:r w:rsidR="00C83634">
        <w:rPr>
          <w:rFonts w:ascii="Times New Roman" w:hAnsi="Times New Roman" w:cs="Times New Roman"/>
          <w:color w:val="000000"/>
          <w:sz w:val="24"/>
          <w:szCs w:val="24"/>
        </w:rPr>
        <w:t xml:space="preserve"> от 12 февруари 2015 г.</w:t>
      </w:r>
    </w:p>
    <w:p w:rsidR="008344D7" w:rsidRPr="007E0796" w:rsidRDefault="007E0796" w:rsidP="007E07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Обхват на забраните</w:t>
      </w:r>
    </w:p>
    <w:p w:rsidR="007E0796" w:rsidRDefault="00494AC6" w:rsidP="003519CC">
      <w:pPr>
        <w:pStyle w:val="title-article-norm"/>
        <w:spacing w:before="0" w:beforeAutospacing="0" w:after="0" w:afterAutospacing="0"/>
        <w:ind w:firstLine="709"/>
      </w:pPr>
      <w:r w:rsidRPr="00BE5F2E">
        <w:rPr>
          <w:b/>
          <w:bCs/>
        </w:rPr>
        <w:t>Регламент (ЕО) № 1210/2003</w:t>
      </w:r>
      <w:r>
        <w:rPr>
          <w:b/>
          <w:bCs/>
        </w:rPr>
        <w:t xml:space="preserve">, </w:t>
      </w:r>
      <w:r>
        <w:t>ч</w:t>
      </w:r>
      <w:r w:rsidR="007E0796">
        <w:t>лен 3</w:t>
      </w:r>
      <w:r>
        <w:t>: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1.  Следното се забранява: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а) внос или въвеждане на територията на Общността на,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б) износ или отвеждане от територията на Общността на, и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в) търгуване с иракска културна собственост и други предмети с археологическа, историческа, културна, чисто научна и религиозна ценност, включително тези предмети, които са изброени в приложение II, ако те са незаконно отведени от тяхното местоположение в Ирак, по-конкретно, ако: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i) предметите формират неразделна част или от публичните колекции, изброени в инвентара на иракските музеи, архиви или библиотечни консервирани колекции, или в инвентара на иракските религиозни институции, или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ii) съществува основателно подозрение, че стоките са изнесени от Ирак без съгласието на техния законен собственик или са изнесени при нарушаване на иракските закони и под-законови актове.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2.  Тези забрани не се прилагат, ако е видно, че или:</w:t>
      </w:r>
    </w:p>
    <w:p w:rsidR="007E0796" w:rsidRDefault="007E0796" w:rsidP="003519CC">
      <w:pPr>
        <w:pStyle w:val="norm"/>
        <w:spacing w:before="0" w:beforeAutospacing="0" w:after="0" w:afterAutospacing="0"/>
        <w:ind w:firstLine="709"/>
      </w:pPr>
      <w:r>
        <w:t>а) предметите на културата са били изнесени от Ирак преди 6 август 1990 г.; или</w:t>
      </w:r>
    </w:p>
    <w:p w:rsidR="007E0796" w:rsidRPr="003519CC" w:rsidRDefault="007E0796" w:rsidP="003519CC">
      <w:pPr>
        <w:pStyle w:val="norm"/>
        <w:spacing w:before="0" w:beforeAutospacing="0" w:after="0" w:afterAutospacing="0"/>
        <w:ind w:firstLine="709"/>
        <w:rPr>
          <w:lang w:val="en-US"/>
        </w:rPr>
      </w:pPr>
      <w:r>
        <w:t>б) предметите на културата се връщат на иракски институции в съответствие с целта за невредимо връщане, изложена в параграф 7 от Резолюция на Съвета за сигурност на ООН 1483 (2003).</w:t>
      </w:r>
    </w:p>
    <w:p w:rsidR="003519CC" w:rsidRDefault="003519CC" w:rsidP="003519C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3634" w:rsidRPr="00C83634" w:rsidRDefault="00C83634" w:rsidP="00351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2E">
        <w:rPr>
          <w:rFonts w:ascii="Times New Roman" w:hAnsi="Times New Roman" w:cs="Times New Roman"/>
          <w:b/>
          <w:bCs/>
          <w:sz w:val="24"/>
          <w:szCs w:val="24"/>
        </w:rPr>
        <w:t>Регламент (ЕО) № 1210/2003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r w:rsidRPr="00C836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</w:t>
      </w:r>
      <w:r w:rsidR="00182CB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519CC" w:rsidRDefault="003519CC" w:rsidP="00351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83634" w:rsidRPr="00C83634" w:rsidRDefault="00C83634" w:rsidP="00351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63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от стоки, упоменат в член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7"/>
        <w:gridCol w:w="7895"/>
      </w:tblGrid>
      <w:tr w:rsidR="00C83634" w:rsidRPr="003519CC" w:rsidTr="00F065E8">
        <w:trPr>
          <w:trHeight w:val="421"/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3519CC">
              <w:rPr>
                <w:rFonts w:ascii="Times New Roman" w:hAnsi="Times New Roman" w:cs="Times New Roman"/>
                <w:lang w:eastAsia="bg-BG"/>
              </w:rPr>
              <w:t>ex</w:t>
            </w:r>
            <w:proofErr w:type="spellEnd"/>
            <w:r w:rsidRPr="003519CC">
              <w:rPr>
                <w:rFonts w:ascii="Times New Roman" w:hAnsi="Times New Roman" w:cs="Times New Roman"/>
                <w:lang w:eastAsia="bg-BG"/>
              </w:rPr>
              <w:t xml:space="preserve"> код по КН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Описание на продукта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1.  Археологически обекти, по-стари от 100 години, които са продукт на: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разкопки и разкрития на сушата или под вода</w:t>
            </w:r>
          </w:p>
          <w:p w:rsidR="00F065E8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val="en-US"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разкопки и разкрития на сушата или под вода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археологически колекции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2.  Елементи, формиращи неразделна част от художествени, исторически или религиозни монументи, които са разделени и са на възраст над 100 години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9701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3.  Картини и живопис, различни от тези, които са включени в категория 3А или 4, рисувани изцяло на ръка с всякакви средства и върху всякакъв материал,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9701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 xml:space="preserve">3A.  Картини и живопис с водни бои, </w:t>
            </w:r>
            <w:proofErr w:type="spellStart"/>
            <w:r w:rsidRPr="003519CC">
              <w:rPr>
                <w:rFonts w:ascii="Times New Roman" w:hAnsi="Times New Roman" w:cs="Times New Roman"/>
                <w:lang w:eastAsia="bg-BG"/>
              </w:rPr>
              <w:t>гваши</w:t>
            </w:r>
            <w:proofErr w:type="spellEnd"/>
            <w:r w:rsidRPr="003519CC">
              <w:rPr>
                <w:rFonts w:ascii="Times New Roman" w:hAnsi="Times New Roman" w:cs="Times New Roman"/>
                <w:lang w:eastAsia="bg-BG"/>
              </w:rPr>
              <w:t xml:space="preserve"> и пастели, рисувани изцяло на ръка с всякакви средства и върху всякакъв материал,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6914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9701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 xml:space="preserve">4.  Мозайки с всякакъв материал, изпълнени изцяло на ръка, различни от тези, попадащи в категория 1 или 2, и рисунки с всякакви средства, изпълнени изцяло </w:t>
            </w:r>
            <w:r w:rsidRPr="003519CC">
              <w:rPr>
                <w:rFonts w:ascii="Times New Roman" w:hAnsi="Times New Roman" w:cs="Times New Roman"/>
                <w:lang w:eastAsia="bg-BG"/>
              </w:rPr>
              <w:lastRenderedPageBreak/>
              <w:t>на ръка върху всеки материал,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lastRenderedPageBreak/>
              <w:t>Глава 49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9702 00 00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8442 50 99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 xml:space="preserve">5.  Оригинални гравюри, щампи, </w:t>
            </w:r>
            <w:proofErr w:type="spellStart"/>
            <w:r w:rsidRPr="003519CC">
              <w:rPr>
                <w:rFonts w:ascii="Times New Roman" w:hAnsi="Times New Roman" w:cs="Times New Roman"/>
                <w:lang w:eastAsia="bg-BG"/>
              </w:rPr>
              <w:t>сериграфии</w:t>
            </w:r>
            <w:proofErr w:type="spellEnd"/>
            <w:r w:rsidRPr="003519CC">
              <w:rPr>
                <w:rFonts w:ascii="Times New Roman" w:hAnsi="Times New Roman" w:cs="Times New Roman"/>
                <w:lang w:eastAsia="bg-BG"/>
              </w:rPr>
              <w:t xml:space="preserve"> и литографии с техните плочи и оригинални постери,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9703 00 00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6.  Оригинални скулптури или статуи и копия, получени по същия начин както оригинала, които са по-стари от 50 години и не принадлежат на техните изобретатели, с изключение на тези в категория 1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3704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3705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3706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4911 91 80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7.  Фотографии, филми и негативи от тях,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9702 00 00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4901 10 00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4901 99 00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4904 00 00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4905 91 00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4905 99 00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8.  Старопечатни книги и ръкописи, включително карти и музикални партитури, самостоятелно или в колекции, които са по-стари от 50 години и не принадлежат на техните изобретатели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9.  Книги, които са по-стари от 100 години, самостоятелно или в колекции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10.  Напечатани карти, на възраст повече от 200 години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3704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3705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3706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4901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4906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11.  Архиви и всеки елемент от тях, от всякакъв вид или средство, които са по-стари от 50 години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12.  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а)  Колекции, дефинирани от Съда в неговото решение 252/84 </w:t>
            </w:r>
            <w:hyperlink r:id="rId5" w:anchor="E0004" w:history="1">
              <w:r w:rsidRPr="003519CC">
                <w:rPr>
                  <w:rFonts w:ascii="Times New Roman" w:hAnsi="Times New Roman" w:cs="Times New Roman"/>
                  <w:color w:val="0000FF"/>
                  <w:u w:val="single"/>
                  <w:lang w:eastAsia="bg-BG"/>
                </w:rPr>
                <w:t>(1)</w:t>
              </w:r>
            </w:hyperlink>
            <w:r w:rsidRPr="003519CC">
              <w:rPr>
                <w:rFonts w:ascii="Times New Roman" w:hAnsi="Times New Roman" w:cs="Times New Roman"/>
                <w:lang w:eastAsia="bg-BG"/>
              </w:rPr>
              <w:t>, и образци от зоологически, ботанически, минералогични или анатомични колекции;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 xml:space="preserve">б)  Колекции, дефинирани от Съда в неговото решение 252/84, от исторически, </w:t>
            </w:r>
            <w:proofErr w:type="spellStart"/>
            <w:r w:rsidRPr="003519CC">
              <w:rPr>
                <w:rFonts w:ascii="Times New Roman" w:hAnsi="Times New Roman" w:cs="Times New Roman"/>
                <w:lang w:eastAsia="bg-BG"/>
              </w:rPr>
              <w:t>палеонтологически</w:t>
            </w:r>
            <w:proofErr w:type="spellEnd"/>
            <w:r w:rsidRPr="003519CC">
              <w:rPr>
                <w:rFonts w:ascii="Times New Roman" w:hAnsi="Times New Roman" w:cs="Times New Roman"/>
                <w:lang w:eastAsia="bg-BG"/>
              </w:rPr>
              <w:t>, етнографски или нумизматичен интерес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9705 00 00</w:t>
            </w:r>
          </w:p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Глави 86-89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13.  Транспортни средства, които са по-стари от 75 години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14.  Всякакви други антични предмети, които не са включени в категориите 1-13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а)  на възраст между 50 и 100 години: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95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играчки, игри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7013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стъкларски предмети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7114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предмети, изработени от злато или сребро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94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мебели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оптическа, фотографска или кинематографическа апаратура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92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музикални инструменти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91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стенни и ръчни часовници и части към тях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44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предмети от дърво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lastRenderedPageBreak/>
              <w:t>Глава 69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грънчарски изделия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5805 00 00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гоблени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57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килими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4814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тапети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Глава 93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—  оръжия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9706 00 00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б)  по-стари от 100 години</w:t>
            </w:r>
          </w:p>
        </w:tc>
      </w:tr>
      <w:tr w:rsidR="00C83634" w:rsidRPr="003519CC" w:rsidTr="00F065E8">
        <w:trPr>
          <w:tblCellSpacing w:w="0" w:type="dxa"/>
        </w:trPr>
        <w:tc>
          <w:tcPr>
            <w:tcW w:w="9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634" w:rsidRPr="003519CC" w:rsidRDefault="00C83634" w:rsidP="00F065E8">
            <w:pPr>
              <w:pStyle w:val="NoSpacing"/>
              <w:rPr>
                <w:rFonts w:ascii="Times New Roman" w:hAnsi="Times New Roman" w:cs="Times New Roman"/>
                <w:lang w:eastAsia="bg-BG"/>
              </w:rPr>
            </w:pPr>
            <w:r w:rsidRPr="003519CC">
              <w:rPr>
                <w:rFonts w:ascii="Times New Roman" w:hAnsi="Times New Roman" w:cs="Times New Roman"/>
                <w:lang w:eastAsia="bg-BG"/>
              </w:rPr>
              <w:t>(1)   Колекционерски предмети, по смисъла на позиция 97.05 от Общата митническа тарифа, са предмети, които притежават необходимите характеристики за включване в колекция, с други думи, предмети, които са сравнително редки, обичайно не се използват за оригиналното си предназначение, както и са обект на специфични транзакции извън обичайната търговия с подобни вещи и са с висока цена.</w:t>
            </w:r>
          </w:p>
        </w:tc>
      </w:tr>
    </w:tbl>
    <w:p w:rsidR="00443E34" w:rsidRDefault="00443E34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601A4" w:rsidRDefault="003601A4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6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Червен списък на застрашените </w:t>
      </w:r>
      <w:r w:rsidR="002D5B9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иракски </w:t>
      </w:r>
      <w:r w:rsidRPr="003601A4">
        <w:rPr>
          <w:rFonts w:ascii="Times New Roman" w:hAnsi="Times New Roman" w:cs="Times New Roman"/>
          <w:b/>
          <w:sz w:val="24"/>
          <w:szCs w:val="24"/>
          <w:u w:val="single"/>
        </w:rPr>
        <w:t>културни ценности (</w:t>
      </w:r>
      <w:r w:rsidR="002D5B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съставен от </w:t>
      </w:r>
      <w:r w:rsidRPr="003601A4">
        <w:rPr>
          <w:rFonts w:ascii="Times New Roman" w:hAnsi="Times New Roman" w:cs="Times New Roman"/>
          <w:b/>
          <w:sz w:val="24"/>
          <w:szCs w:val="24"/>
          <w:u w:val="single"/>
        </w:rPr>
        <w:t>Международния</w:t>
      </w:r>
      <w:r w:rsidR="002D5B95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36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съвет на музеите</w:t>
      </w:r>
      <w:r w:rsidR="00247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6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ICOM</w:t>
      </w:r>
      <w:r w:rsidRPr="003601A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83634" w:rsidRPr="00112823" w:rsidRDefault="00077756" w:rsidP="000777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Списъкът илюстрира </w:t>
      </w:r>
      <w:r w:rsidR="00A12B00">
        <w:rPr>
          <w:rFonts w:ascii="Times New Roman" w:hAnsi="Times New Roman" w:cs="Times New Roman"/>
          <w:sz w:val="24"/>
          <w:szCs w:val="24"/>
        </w:rPr>
        <w:t xml:space="preserve">видовете културни ценности, за които вероятността за незаконна търговия е най-голяма. </w:t>
      </w:r>
      <w:r w:rsidR="00A12B00" w:rsidRPr="00A12B00">
        <w:rPr>
          <w:rFonts w:ascii="Times New Roman" w:hAnsi="Times New Roman" w:cs="Times New Roman"/>
          <w:sz w:val="24"/>
          <w:szCs w:val="24"/>
        </w:rPr>
        <w:t xml:space="preserve">Представлява типология на най-търсените </w:t>
      </w:r>
      <w:r w:rsidR="00A12B00">
        <w:rPr>
          <w:rFonts w:ascii="Times New Roman" w:hAnsi="Times New Roman" w:cs="Times New Roman"/>
          <w:sz w:val="24"/>
          <w:szCs w:val="24"/>
        </w:rPr>
        <w:t xml:space="preserve">иракски </w:t>
      </w:r>
      <w:r w:rsidR="00A12B00" w:rsidRPr="00A12B00">
        <w:rPr>
          <w:rFonts w:ascii="Times New Roman" w:hAnsi="Times New Roman" w:cs="Times New Roman"/>
          <w:sz w:val="24"/>
          <w:szCs w:val="24"/>
        </w:rPr>
        <w:t>произведения със снимки, описания, размери, произход и датировка.</w:t>
      </w:r>
      <w:r w:rsidR="00112823" w:rsidRPr="00112823">
        <w:t xml:space="preserve"> </w:t>
      </w:r>
      <w:r w:rsidR="00FC09C5" w:rsidRPr="00FC09C5">
        <w:rPr>
          <w:rFonts w:ascii="Times New Roman" w:hAnsi="Times New Roman" w:cs="Times New Roman"/>
          <w:sz w:val="24"/>
          <w:szCs w:val="24"/>
        </w:rPr>
        <w:t>В списъка</w:t>
      </w:r>
      <w:r w:rsidR="00FC09C5">
        <w:t xml:space="preserve"> </w:t>
      </w:r>
      <w:r w:rsidR="00FC09C5">
        <w:rPr>
          <w:rFonts w:ascii="Times New Roman" w:hAnsi="Times New Roman" w:cs="Times New Roman"/>
          <w:sz w:val="24"/>
          <w:szCs w:val="24"/>
        </w:rPr>
        <w:t>ф</w:t>
      </w:r>
      <w:r w:rsidR="00112823" w:rsidRPr="00112823">
        <w:rPr>
          <w:rFonts w:ascii="Times New Roman" w:hAnsi="Times New Roman" w:cs="Times New Roman"/>
          <w:sz w:val="24"/>
          <w:szCs w:val="24"/>
        </w:rPr>
        <w:t xml:space="preserve">игурират плочки, цилиндри и глинени конуси с клинописни текстове, печати, мозайки от червена теракота, </w:t>
      </w:r>
      <w:proofErr w:type="spellStart"/>
      <w:r w:rsidR="00112823" w:rsidRPr="00112823">
        <w:rPr>
          <w:rFonts w:ascii="Times New Roman" w:hAnsi="Times New Roman" w:cs="Times New Roman"/>
          <w:sz w:val="24"/>
          <w:szCs w:val="24"/>
        </w:rPr>
        <w:t>резбовани</w:t>
      </w:r>
      <w:proofErr w:type="spellEnd"/>
      <w:r w:rsidR="00112823" w:rsidRPr="00112823">
        <w:rPr>
          <w:rFonts w:ascii="Times New Roman" w:hAnsi="Times New Roman" w:cs="Times New Roman"/>
          <w:sz w:val="24"/>
          <w:szCs w:val="24"/>
        </w:rPr>
        <w:t xml:space="preserve"> врати от </w:t>
      </w:r>
      <w:proofErr w:type="spellStart"/>
      <w:r w:rsidR="00112823" w:rsidRPr="00112823">
        <w:rPr>
          <w:rFonts w:ascii="Times New Roman" w:hAnsi="Times New Roman" w:cs="Times New Roman"/>
          <w:sz w:val="24"/>
          <w:szCs w:val="24"/>
        </w:rPr>
        <w:t>тиково</w:t>
      </w:r>
      <w:proofErr w:type="spellEnd"/>
      <w:r w:rsidR="00112823" w:rsidRPr="00112823">
        <w:rPr>
          <w:rFonts w:ascii="Times New Roman" w:hAnsi="Times New Roman" w:cs="Times New Roman"/>
          <w:sz w:val="24"/>
          <w:szCs w:val="24"/>
        </w:rPr>
        <w:t xml:space="preserve"> дърво, плочи от слонова кост, камък или алабастър украсени с релефи, </w:t>
      </w:r>
      <w:proofErr w:type="spellStart"/>
      <w:r w:rsidR="00112823" w:rsidRPr="00112823">
        <w:rPr>
          <w:rFonts w:ascii="Times New Roman" w:hAnsi="Times New Roman" w:cs="Times New Roman"/>
          <w:sz w:val="24"/>
          <w:szCs w:val="24"/>
        </w:rPr>
        <w:t>оброчни</w:t>
      </w:r>
      <w:proofErr w:type="spellEnd"/>
      <w:r w:rsidR="00112823" w:rsidRPr="00112823">
        <w:rPr>
          <w:rFonts w:ascii="Times New Roman" w:hAnsi="Times New Roman" w:cs="Times New Roman"/>
          <w:sz w:val="24"/>
          <w:szCs w:val="24"/>
        </w:rPr>
        <w:t xml:space="preserve"> фигурки и статуи от бронз, глина или алабастър, с</w:t>
      </w:r>
      <w:r w:rsidR="00FC09C5">
        <w:rPr>
          <w:rFonts w:ascii="Times New Roman" w:hAnsi="Times New Roman" w:cs="Times New Roman"/>
          <w:sz w:val="24"/>
          <w:szCs w:val="24"/>
        </w:rPr>
        <w:t>ъдове, стъклени флакони, бижута и монети.</w:t>
      </w:r>
    </w:p>
    <w:p w:rsidR="003C5E5D" w:rsidRDefault="001F605D" w:rsidP="001F6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38249" cy="1400175"/>
            <wp:effectExtent l="19050" t="0" r="1" b="0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67" cy="14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23" w:rsidRPr="001128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152525" cy="14001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43075" cy="14001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23975" cy="1400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36" w:rsidRPr="00FB4B36" w:rsidRDefault="00FB4B36" w:rsidP="001F6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47700" cy="13906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19200" cy="13906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114425" cy="13906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33450" cy="13906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33400" cy="12954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028700" cy="12954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CC" w:rsidRDefault="003519CC" w:rsidP="00C83634">
      <w:pPr>
        <w:pStyle w:val="NormalWeb"/>
        <w:spacing w:before="0" w:beforeAutospacing="0" w:after="0" w:afterAutospacing="0"/>
        <w:ind w:firstLine="709"/>
        <w:jc w:val="center"/>
        <w:rPr>
          <w:b/>
          <w:bCs/>
          <w:u w:val="single"/>
          <w:lang w:val="en-US"/>
        </w:rPr>
      </w:pPr>
    </w:p>
    <w:p w:rsidR="007E0796" w:rsidRDefault="007E0796" w:rsidP="003519CC">
      <w:pPr>
        <w:pStyle w:val="NormalWeb"/>
        <w:spacing w:before="0" w:beforeAutospacing="0" w:after="0" w:afterAutospacing="0"/>
        <w:ind w:firstLine="709"/>
        <w:jc w:val="center"/>
        <w:rPr>
          <w:u w:val="single"/>
        </w:rPr>
      </w:pPr>
      <w:r w:rsidRPr="00C83634">
        <w:rPr>
          <w:b/>
          <w:bCs/>
          <w:u w:val="single"/>
        </w:rPr>
        <w:t>Компетентен орган</w:t>
      </w:r>
      <w:r w:rsidRPr="00C83634">
        <w:rPr>
          <w:u w:val="single"/>
        </w:rPr>
        <w:t xml:space="preserve"> </w:t>
      </w:r>
    </w:p>
    <w:p w:rsidR="007E0796" w:rsidRDefault="007E0796" w:rsidP="003519CC">
      <w:pPr>
        <w:pStyle w:val="NormalWeb"/>
        <w:spacing w:before="0" w:beforeAutospacing="0" w:after="0" w:afterAutospacing="0"/>
        <w:ind w:firstLine="709"/>
        <w:jc w:val="center"/>
      </w:pPr>
      <w:r>
        <w:t xml:space="preserve">Министерство на културата </w:t>
      </w:r>
    </w:p>
    <w:p w:rsidR="00F563B7" w:rsidRDefault="00F563B7" w:rsidP="003519CC">
      <w:pPr>
        <w:pStyle w:val="NormalWeb"/>
        <w:spacing w:before="0" w:beforeAutospacing="0" w:after="0" w:afterAutospacing="0"/>
        <w:ind w:firstLine="709"/>
        <w:jc w:val="center"/>
      </w:pPr>
    </w:p>
    <w:p w:rsidR="007E0796" w:rsidRDefault="00F563B7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563B7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Полезни връзки</w:t>
      </w:r>
    </w:p>
    <w:p w:rsidR="00575271" w:rsidRPr="00575271" w:rsidRDefault="00575271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41C65" w:rsidRDefault="00F01ABD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6" w:history="1">
        <w:r w:rsidR="00841C65" w:rsidRPr="00C776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http://mc.government.bg/page.php?p=58&amp;s=424&amp;sp=425&amp;t=0&amp;z=0</w:t>
        </w:r>
      </w:hyperlink>
    </w:p>
    <w:p w:rsidR="00841C65" w:rsidRDefault="00F01ABD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7" w:history="1">
        <w:r w:rsidR="00841C65" w:rsidRPr="00C776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http://icom.museum/resources/red-lists-database/red-list/iraq/</w:t>
        </w:r>
      </w:hyperlink>
    </w:p>
    <w:p w:rsidR="00841C65" w:rsidRDefault="00F01ABD" w:rsidP="0035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8" w:history="1">
        <w:r w:rsidR="00841C65" w:rsidRPr="00C776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http://eur-lex.europa.eu/legal-content/BG/TXT/?qid=1445429623837&amp;uri=CELEX:02003R1210-20140724</w:t>
        </w:r>
      </w:hyperlink>
    </w:p>
    <w:sectPr w:rsidR="00841C65" w:rsidSect="0057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1BA"/>
    <w:rsid w:val="00077756"/>
    <w:rsid w:val="00112823"/>
    <w:rsid w:val="00182CBD"/>
    <w:rsid w:val="001B4EA9"/>
    <w:rsid w:val="001D1454"/>
    <w:rsid w:val="001F605D"/>
    <w:rsid w:val="00204F1C"/>
    <w:rsid w:val="002476F0"/>
    <w:rsid w:val="002519AB"/>
    <w:rsid w:val="00284387"/>
    <w:rsid w:val="002D5B95"/>
    <w:rsid w:val="003519CC"/>
    <w:rsid w:val="003601A4"/>
    <w:rsid w:val="003C5E5D"/>
    <w:rsid w:val="00443E34"/>
    <w:rsid w:val="00494AC6"/>
    <w:rsid w:val="00565D13"/>
    <w:rsid w:val="00574059"/>
    <w:rsid w:val="00575271"/>
    <w:rsid w:val="005C1828"/>
    <w:rsid w:val="006A1913"/>
    <w:rsid w:val="006D3ED6"/>
    <w:rsid w:val="006F0927"/>
    <w:rsid w:val="007E0796"/>
    <w:rsid w:val="008344D7"/>
    <w:rsid w:val="00841C65"/>
    <w:rsid w:val="00957182"/>
    <w:rsid w:val="00A051BA"/>
    <w:rsid w:val="00A12B00"/>
    <w:rsid w:val="00B06199"/>
    <w:rsid w:val="00B14B13"/>
    <w:rsid w:val="00B26AD7"/>
    <w:rsid w:val="00BB67F9"/>
    <w:rsid w:val="00BE5F2E"/>
    <w:rsid w:val="00C02CA7"/>
    <w:rsid w:val="00C57225"/>
    <w:rsid w:val="00C83634"/>
    <w:rsid w:val="00DA1427"/>
    <w:rsid w:val="00EB7257"/>
    <w:rsid w:val="00F01ABD"/>
    <w:rsid w:val="00F065E8"/>
    <w:rsid w:val="00F563B7"/>
    <w:rsid w:val="00F96858"/>
    <w:rsid w:val="00FB4B36"/>
    <w:rsid w:val="00F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article-norm">
    <w:name w:val="title-article-norm"/>
    <w:basedOn w:val="Normal"/>
    <w:rsid w:val="007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">
    <w:name w:val="norm"/>
    <w:basedOn w:val="Normal"/>
    <w:rsid w:val="007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annex-1">
    <w:name w:val="title-annex-1"/>
    <w:basedOn w:val="Normal"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table">
    <w:name w:val="title-table"/>
    <w:basedOn w:val="Normal"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norm">
    <w:name w:val="tbl-norm"/>
    <w:basedOn w:val="Normal"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-none">
    <w:name w:val="item-none"/>
    <w:basedOn w:val="Normal"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83634"/>
    <w:rPr>
      <w:color w:val="0000FF"/>
      <w:u w:val="single"/>
    </w:rPr>
  </w:style>
  <w:style w:type="character" w:customStyle="1" w:styleId="superscript">
    <w:name w:val="superscript"/>
    <w:basedOn w:val="DefaultParagraphFont"/>
    <w:rsid w:val="00C83634"/>
  </w:style>
  <w:style w:type="paragraph" w:styleId="BalloonText">
    <w:name w:val="Balloon Text"/>
    <w:basedOn w:val="Normal"/>
    <w:link w:val="BalloonTextChar"/>
    <w:uiPriority w:val="99"/>
    <w:semiHidden/>
    <w:unhideWhenUsed/>
    <w:rsid w:val="001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8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http://eur-lex.europa.eu/legal-content/BG/TXT/?qid=1445429623837&amp;uri=CELEX:02003R1210-201407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://icom.museum/resources/red-lists-database/red-list/iraq/" TargetMode="External"/><Relationship Id="rId2" Type="http://schemas.openxmlformats.org/officeDocument/2006/relationships/styles" Target="styles.xml"/><Relationship Id="rId16" Type="http://schemas.openxmlformats.org/officeDocument/2006/relationships/hyperlink" Target="http://mc.government.bg/page.php?p=58&amp;s=424&amp;sp=425&amp;t=0&amp;z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eur-lex.europa.eu/legal-content/BG/TXT/?qid=1445414704296&amp;uri=CELEX:02003R1210-20140724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F7CF-8591-4C1B-A7C4-E917571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2015-10-21T08:09:00Z</dcterms:created>
  <dcterms:modified xsi:type="dcterms:W3CDTF">2015-10-22T10:03:00Z</dcterms:modified>
</cp:coreProperties>
</file>