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429" w:rsidRPr="00037087" w:rsidRDefault="00260429" w:rsidP="00260429">
      <w:pPr>
        <w:spacing w:after="0"/>
        <w:ind w:firstLine="720"/>
        <w:jc w:val="center"/>
        <w:rPr>
          <w:b/>
          <w:lang w:val="bg-BG"/>
        </w:rPr>
      </w:pPr>
      <w:r w:rsidRPr="00037087">
        <w:rPr>
          <w:b/>
          <w:lang w:val="bg-BG"/>
        </w:rPr>
        <w:t>АНАЛИЗ НА ПРИХОДИТЕ ОТ АКЦИЗ ЗА ТЮТЮН И ТЮТЮНЕВИ ИЗДЕЛИЯ ПРЕЗ 2017 ГОДИНА</w:t>
      </w:r>
    </w:p>
    <w:p w:rsidR="00260429" w:rsidRDefault="00260429" w:rsidP="00260429">
      <w:pPr>
        <w:spacing w:after="0"/>
        <w:ind w:firstLine="720"/>
        <w:jc w:val="center"/>
        <w:rPr>
          <w:lang w:val="bg-BG"/>
        </w:rPr>
      </w:pPr>
    </w:p>
    <w:p w:rsidR="00021070" w:rsidRDefault="00021070" w:rsidP="00260429">
      <w:pPr>
        <w:spacing w:after="0"/>
        <w:ind w:firstLine="720"/>
        <w:jc w:val="center"/>
        <w:rPr>
          <w:lang w:val="bg-BG"/>
        </w:rPr>
      </w:pPr>
    </w:p>
    <w:p w:rsidR="00F067CD" w:rsidRDefault="00F067CD" w:rsidP="00933F32">
      <w:pPr>
        <w:spacing w:after="0"/>
        <w:ind w:firstLine="720"/>
        <w:jc w:val="both"/>
        <w:rPr>
          <w:lang w:val="bg-BG"/>
        </w:rPr>
      </w:pPr>
      <w:r>
        <w:rPr>
          <w:lang w:val="bg-BG"/>
        </w:rPr>
        <w:t>Приходите от акциз за тютюн и тютюневи изделия имат определящ дял в общите приходи от акциз. През последните пет години този дял варира от 44.3% до 48.0%</w:t>
      </w:r>
      <w:r w:rsidR="002825BF">
        <w:rPr>
          <w:lang w:val="bg-BG"/>
        </w:rPr>
        <w:t xml:space="preserve"> (графика</w:t>
      </w:r>
      <w:r w:rsidR="00DA57D9">
        <w:rPr>
          <w:lang w:val="bg-BG"/>
        </w:rPr>
        <w:t> №</w:t>
      </w:r>
      <w:r w:rsidR="002825BF">
        <w:rPr>
          <w:lang w:val="bg-BG"/>
        </w:rPr>
        <w:t>1)</w:t>
      </w:r>
      <w:r>
        <w:rPr>
          <w:lang w:val="bg-BG"/>
        </w:rPr>
        <w:t>.</w:t>
      </w:r>
    </w:p>
    <w:p w:rsidR="00DC7E7E" w:rsidRPr="00DA57D9" w:rsidRDefault="007860A4" w:rsidP="00DA57D9">
      <w:pPr>
        <w:spacing w:after="0"/>
        <w:ind w:left="7200" w:firstLine="3432"/>
        <w:jc w:val="both"/>
        <w:rPr>
          <w:b/>
          <w:lang w:val="bg-BG"/>
        </w:rPr>
      </w:pPr>
      <w:r w:rsidRPr="00DA57D9">
        <w:rPr>
          <w:b/>
          <w:lang w:val="bg-BG"/>
        </w:rPr>
        <w:t>Г</w:t>
      </w:r>
      <w:r w:rsidR="00DC7E7E" w:rsidRPr="00DA57D9">
        <w:rPr>
          <w:b/>
          <w:lang w:val="bg-BG"/>
        </w:rPr>
        <w:t>рафика</w:t>
      </w:r>
      <w:r w:rsidRPr="00DA57D9">
        <w:rPr>
          <w:b/>
          <w:lang w:val="bg-BG"/>
        </w:rPr>
        <w:t xml:space="preserve"> </w:t>
      </w:r>
      <w:r w:rsidR="00DA57D9" w:rsidRPr="00DA57D9">
        <w:rPr>
          <w:b/>
          <w:lang w:val="bg-BG"/>
        </w:rPr>
        <w:t>№</w:t>
      </w:r>
      <w:r w:rsidRPr="00DA57D9">
        <w:rPr>
          <w:b/>
          <w:lang w:val="bg-BG"/>
        </w:rPr>
        <w:t>1</w:t>
      </w:r>
    </w:p>
    <w:p w:rsidR="008A62F9" w:rsidRDefault="008A62F9" w:rsidP="00DA57D9">
      <w:pPr>
        <w:spacing w:after="0"/>
        <w:ind w:firstLine="720"/>
        <w:rPr>
          <w:b/>
          <w:i/>
          <w:lang w:val="bg-BG"/>
        </w:rPr>
      </w:pPr>
      <w:r w:rsidRPr="00DA57D9">
        <w:rPr>
          <w:b/>
          <w:i/>
          <w:lang w:val="bg-BG"/>
        </w:rPr>
        <w:t>Дял на приходите от акциз за тютюн и тютюневи изделия от общите годишни приходи от акциз (%)</w:t>
      </w:r>
    </w:p>
    <w:p w:rsidR="00DA57D9" w:rsidRPr="00DA57D9" w:rsidRDefault="00DA57D9" w:rsidP="00DA57D9">
      <w:pPr>
        <w:spacing w:after="0"/>
        <w:ind w:firstLine="720"/>
        <w:rPr>
          <w:b/>
          <w:i/>
          <w:lang w:val="bg-BG"/>
        </w:rPr>
      </w:pPr>
    </w:p>
    <w:p w:rsidR="002825BF" w:rsidRDefault="002825BF" w:rsidP="00DA57D9">
      <w:pPr>
        <w:spacing w:after="0"/>
        <w:jc w:val="center"/>
        <w:rPr>
          <w:lang w:val="bg-BG"/>
        </w:rPr>
      </w:pPr>
      <w:r>
        <w:rPr>
          <w:noProof/>
        </w:rPr>
        <w:drawing>
          <wp:inline distT="0" distB="0" distL="0" distR="0" wp14:anchorId="5FD6FFC9">
            <wp:extent cx="7277100" cy="2257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7100" cy="2257425"/>
                    </a:xfrm>
                    <a:prstGeom prst="rect">
                      <a:avLst/>
                    </a:prstGeom>
                    <a:noFill/>
                  </pic:spPr>
                </pic:pic>
              </a:graphicData>
            </a:graphic>
          </wp:inline>
        </w:drawing>
      </w:r>
    </w:p>
    <w:p w:rsidR="008A62F9" w:rsidRDefault="008A62F9" w:rsidP="00933F32">
      <w:pPr>
        <w:spacing w:after="0"/>
        <w:ind w:firstLine="720"/>
        <w:jc w:val="both"/>
        <w:rPr>
          <w:lang w:val="bg-BG"/>
        </w:rPr>
      </w:pPr>
    </w:p>
    <w:p w:rsidR="00C73175" w:rsidRDefault="0010424F" w:rsidP="00933F32">
      <w:pPr>
        <w:spacing w:after="0"/>
        <w:ind w:firstLine="720"/>
        <w:jc w:val="both"/>
        <w:rPr>
          <w:lang w:val="bg-BG"/>
        </w:rPr>
      </w:pPr>
      <w:r>
        <w:rPr>
          <w:lang w:val="bg-BG"/>
        </w:rPr>
        <w:t xml:space="preserve">Предвидените в чл. 1 от Закона за държавния бюджет на Република България </w:t>
      </w:r>
      <w:r w:rsidR="00412B82">
        <w:rPr>
          <w:lang w:val="bg-BG"/>
        </w:rPr>
        <w:t xml:space="preserve">(ЗДБРБ) </w:t>
      </w:r>
      <w:r>
        <w:rPr>
          <w:lang w:val="bg-BG"/>
        </w:rPr>
        <w:t>приходи от акциз през 2017 г. са в размер на 5 038.0 млн. лева.</w:t>
      </w:r>
    </w:p>
    <w:p w:rsidR="0010424F" w:rsidRDefault="0010424F" w:rsidP="00933F32">
      <w:pPr>
        <w:spacing w:after="0"/>
        <w:ind w:firstLine="720"/>
        <w:jc w:val="both"/>
        <w:rPr>
          <w:lang w:val="bg-BG"/>
        </w:rPr>
      </w:pPr>
      <w:r>
        <w:rPr>
          <w:lang w:val="bg-BG"/>
        </w:rPr>
        <w:t xml:space="preserve">Съгласно структурата за разпределение на очакваните приходи по групи акцизни стоки, планираните в Агенция „Митници“ </w:t>
      </w:r>
      <w:r w:rsidR="00BE3F9A">
        <w:rPr>
          <w:lang w:val="bg-BG"/>
        </w:rPr>
        <w:t xml:space="preserve">(АМ) </w:t>
      </w:r>
      <w:r>
        <w:rPr>
          <w:lang w:val="bg-BG"/>
        </w:rPr>
        <w:t xml:space="preserve">приходи от акциз за тютюн и тютюневи изделия </w:t>
      </w:r>
      <w:r w:rsidR="00F93104">
        <w:rPr>
          <w:rFonts w:eastAsia="Times New Roman" w:cs="Times New Roman"/>
          <w:bCs/>
          <w:szCs w:val="24"/>
          <w:lang w:val="bg-BG"/>
        </w:rPr>
        <w:t xml:space="preserve">през 2017 г. </w:t>
      </w:r>
      <w:r>
        <w:rPr>
          <w:lang w:val="bg-BG"/>
        </w:rPr>
        <w:t xml:space="preserve">са в размер на </w:t>
      </w:r>
      <w:r w:rsidRPr="0010424F">
        <w:rPr>
          <w:rFonts w:eastAsia="Times New Roman" w:cs="Times New Roman"/>
          <w:bCs/>
          <w:szCs w:val="24"/>
        </w:rPr>
        <w:t>2 367.2</w:t>
      </w:r>
      <w:r w:rsidRPr="0010424F">
        <w:rPr>
          <w:rFonts w:eastAsia="Times New Roman" w:cs="Times New Roman"/>
          <w:bCs/>
          <w:szCs w:val="24"/>
          <w:lang w:val="bg-BG"/>
        </w:rPr>
        <w:t xml:space="preserve"> млн. лева</w:t>
      </w:r>
      <w:r>
        <w:rPr>
          <w:rFonts w:eastAsia="Times New Roman" w:cs="Times New Roman"/>
          <w:bCs/>
          <w:szCs w:val="24"/>
          <w:lang w:val="bg-BG"/>
        </w:rPr>
        <w:t>, 47.0% от общо очакваните п</w:t>
      </w:r>
      <w:r w:rsidR="00F93104">
        <w:rPr>
          <w:rFonts w:eastAsia="Times New Roman" w:cs="Times New Roman"/>
          <w:bCs/>
          <w:szCs w:val="24"/>
          <w:lang w:val="bg-BG"/>
        </w:rPr>
        <w:t xml:space="preserve">риходи от акциз и 2.7% над събраните приходи от акциз за </w:t>
      </w:r>
      <w:r w:rsidR="00F93104">
        <w:rPr>
          <w:lang w:val="bg-BG"/>
        </w:rPr>
        <w:t>тютюневи изделия през 2016 година.</w:t>
      </w:r>
    </w:p>
    <w:p w:rsidR="00700351" w:rsidRDefault="00F93104" w:rsidP="00933F32">
      <w:pPr>
        <w:spacing w:after="0"/>
        <w:ind w:firstLine="720"/>
        <w:jc w:val="both"/>
        <w:rPr>
          <w:lang w:val="bg-BG"/>
        </w:rPr>
      </w:pPr>
      <w:r>
        <w:rPr>
          <w:lang w:val="bg-BG"/>
        </w:rPr>
        <w:t>Данните за касовото изпълнение на приходите от акциз за тютюн и тютюневи изделия през 2017 г. сочат общо събрани приходи 2 368.6 млн. лева, с 0.1% над планираните за годината и с 2.8% над събраните през 2016 година</w:t>
      </w:r>
      <w:r w:rsidR="00700351">
        <w:rPr>
          <w:lang w:val="bg-BG"/>
        </w:rPr>
        <w:t xml:space="preserve"> (графика </w:t>
      </w:r>
      <w:r w:rsidR="00DA57D9">
        <w:rPr>
          <w:lang w:val="bg-BG"/>
        </w:rPr>
        <w:t>№</w:t>
      </w:r>
      <w:r w:rsidR="00700351">
        <w:rPr>
          <w:lang w:val="bg-BG"/>
        </w:rPr>
        <w:t>2)</w:t>
      </w:r>
      <w:r>
        <w:rPr>
          <w:lang w:val="bg-BG"/>
        </w:rPr>
        <w:t>.</w:t>
      </w:r>
      <w:r w:rsidR="00797586">
        <w:rPr>
          <w:lang w:val="bg-BG"/>
        </w:rPr>
        <w:t xml:space="preserve"> </w:t>
      </w:r>
    </w:p>
    <w:p w:rsidR="00021070" w:rsidRDefault="00021070" w:rsidP="00700351">
      <w:pPr>
        <w:shd w:val="clear" w:color="auto" w:fill="FFFFFF" w:themeFill="background1"/>
        <w:spacing w:after="0"/>
        <w:ind w:firstLine="720"/>
        <w:jc w:val="right"/>
        <w:rPr>
          <w:rFonts w:eastAsia="Times New Roman" w:cs="Times New Roman"/>
          <w:bCs/>
          <w:szCs w:val="24"/>
          <w:highlight w:val="yellow"/>
          <w:lang w:val="bg-BG"/>
        </w:rPr>
      </w:pPr>
    </w:p>
    <w:p w:rsidR="00021070" w:rsidRDefault="00021070" w:rsidP="00700351">
      <w:pPr>
        <w:shd w:val="clear" w:color="auto" w:fill="FFFFFF" w:themeFill="background1"/>
        <w:spacing w:after="0"/>
        <w:ind w:firstLine="720"/>
        <w:jc w:val="right"/>
        <w:rPr>
          <w:rFonts w:eastAsia="Times New Roman" w:cs="Times New Roman"/>
          <w:bCs/>
          <w:szCs w:val="24"/>
          <w:highlight w:val="yellow"/>
          <w:lang w:val="bg-BG"/>
        </w:rPr>
      </w:pPr>
    </w:p>
    <w:p w:rsidR="00021070" w:rsidRDefault="00021070" w:rsidP="00700351">
      <w:pPr>
        <w:shd w:val="clear" w:color="auto" w:fill="FFFFFF" w:themeFill="background1"/>
        <w:spacing w:after="0"/>
        <w:ind w:firstLine="720"/>
        <w:jc w:val="right"/>
        <w:rPr>
          <w:rFonts w:eastAsia="Times New Roman" w:cs="Times New Roman"/>
          <w:bCs/>
          <w:szCs w:val="24"/>
          <w:highlight w:val="yellow"/>
          <w:lang w:val="bg-BG"/>
        </w:rPr>
      </w:pPr>
    </w:p>
    <w:p w:rsidR="00700351" w:rsidRPr="00DA57D9" w:rsidRDefault="00700351" w:rsidP="00DA57D9">
      <w:pPr>
        <w:shd w:val="clear" w:color="auto" w:fill="FFFFFF" w:themeFill="background1"/>
        <w:spacing w:after="0"/>
        <w:ind w:firstLine="10206"/>
        <w:rPr>
          <w:rFonts w:eastAsia="Times New Roman" w:cs="Times New Roman"/>
          <w:b/>
          <w:bCs/>
          <w:szCs w:val="24"/>
          <w:lang w:val="bg-BG"/>
        </w:rPr>
      </w:pPr>
      <w:r w:rsidRPr="00DA57D9">
        <w:rPr>
          <w:rFonts w:eastAsia="Times New Roman" w:cs="Times New Roman"/>
          <w:b/>
          <w:bCs/>
          <w:szCs w:val="24"/>
          <w:lang w:val="bg-BG"/>
        </w:rPr>
        <w:lastRenderedPageBreak/>
        <w:t xml:space="preserve">Графика </w:t>
      </w:r>
      <w:r w:rsidR="00DA57D9" w:rsidRPr="00DA57D9">
        <w:rPr>
          <w:rFonts w:eastAsia="Times New Roman" w:cs="Times New Roman"/>
          <w:b/>
          <w:bCs/>
          <w:szCs w:val="24"/>
          <w:lang w:val="bg-BG"/>
        </w:rPr>
        <w:t>№</w:t>
      </w:r>
      <w:r w:rsidRPr="00DA57D9">
        <w:rPr>
          <w:rFonts w:eastAsia="Times New Roman" w:cs="Times New Roman"/>
          <w:b/>
          <w:bCs/>
          <w:szCs w:val="24"/>
          <w:lang w:val="bg-BG"/>
        </w:rPr>
        <w:t>2</w:t>
      </w:r>
    </w:p>
    <w:p w:rsidR="00DA57D9" w:rsidRDefault="00DA57D9" w:rsidP="00DA57D9">
      <w:pPr>
        <w:shd w:val="clear" w:color="auto" w:fill="FFFFFF" w:themeFill="background1"/>
        <w:spacing w:after="0"/>
        <w:ind w:firstLine="284"/>
        <w:jc w:val="center"/>
        <w:rPr>
          <w:rFonts w:eastAsia="Times New Roman" w:cs="Times New Roman"/>
          <w:b/>
          <w:bCs/>
          <w:i/>
          <w:szCs w:val="24"/>
          <w:lang w:val="bg-BG"/>
        </w:rPr>
      </w:pPr>
      <w:r w:rsidRPr="00DA57D9">
        <w:rPr>
          <w:rFonts w:eastAsia="Times New Roman" w:cs="Times New Roman"/>
          <w:b/>
          <w:bCs/>
          <w:i/>
          <w:szCs w:val="24"/>
          <w:lang w:val="bg-BG"/>
        </w:rPr>
        <w:t>Приходи от акциз за тютюн и тютюневи изделия по месеци (млн. лв.)</w:t>
      </w:r>
    </w:p>
    <w:p w:rsidR="00021070" w:rsidRDefault="00021070" w:rsidP="00933F32">
      <w:pPr>
        <w:spacing w:after="0"/>
        <w:ind w:firstLine="720"/>
        <w:jc w:val="both"/>
        <w:rPr>
          <w:lang w:val="bg-BG"/>
        </w:rPr>
      </w:pPr>
    </w:p>
    <w:p w:rsidR="00DA57D9" w:rsidRDefault="00DA57D9" w:rsidP="00933F32">
      <w:pPr>
        <w:spacing w:after="0"/>
        <w:ind w:firstLine="720"/>
        <w:jc w:val="both"/>
        <w:rPr>
          <w:lang w:val="bg-BG"/>
        </w:rPr>
      </w:pPr>
      <w:r>
        <w:rPr>
          <w:noProof/>
        </w:rPr>
        <w:drawing>
          <wp:inline distT="0" distB="0" distL="0" distR="0" wp14:anchorId="1E675116" wp14:editId="40300241">
            <wp:extent cx="7343775" cy="33528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57D9" w:rsidRDefault="00DA57D9" w:rsidP="00933F32">
      <w:pPr>
        <w:spacing w:after="0"/>
        <w:ind w:firstLine="720"/>
        <w:jc w:val="both"/>
        <w:rPr>
          <w:lang w:val="bg-BG"/>
        </w:rPr>
      </w:pPr>
    </w:p>
    <w:p w:rsidR="00DA57D9" w:rsidRDefault="00DA57D9" w:rsidP="00933F32">
      <w:pPr>
        <w:spacing w:after="0"/>
        <w:ind w:firstLine="720"/>
        <w:jc w:val="both"/>
        <w:rPr>
          <w:lang w:val="bg-BG"/>
        </w:rPr>
      </w:pPr>
    </w:p>
    <w:p w:rsidR="00F93104" w:rsidRDefault="00797586" w:rsidP="00933F32">
      <w:pPr>
        <w:spacing w:after="0"/>
        <w:ind w:firstLine="720"/>
        <w:jc w:val="both"/>
        <w:rPr>
          <w:lang w:val="bg-BG"/>
        </w:rPr>
      </w:pPr>
      <w:r>
        <w:rPr>
          <w:lang w:val="bg-BG"/>
        </w:rPr>
        <w:t>П</w:t>
      </w:r>
      <w:r w:rsidR="00F93104">
        <w:rPr>
          <w:lang w:val="bg-BG"/>
        </w:rPr>
        <w:t>о видове тютюневи изделия приходите от акциз през 2017 г. се разпределят, както следва:</w:t>
      </w:r>
    </w:p>
    <w:p w:rsidR="00BE3F9A" w:rsidRPr="00BE3F9A" w:rsidRDefault="00E27AB5" w:rsidP="00933F32">
      <w:pPr>
        <w:pStyle w:val="ListParagraph"/>
        <w:numPr>
          <w:ilvl w:val="0"/>
          <w:numId w:val="1"/>
        </w:numPr>
        <w:spacing w:after="0"/>
        <w:jc w:val="both"/>
        <w:rPr>
          <w:rFonts w:eastAsia="Times New Roman" w:cs="Times New Roman"/>
          <w:bCs/>
          <w:szCs w:val="24"/>
          <w:lang w:val="bg-BG"/>
        </w:rPr>
      </w:pPr>
      <w:r w:rsidRPr="00BE3F9A">
        <w:rPr>
          <w:rFonts w:eastAsia="Times New Roman" w:cs="Times New Roman"/>
          <w:bCs/>
          <w:szCs w:val="24"/>
          <w:lang w:val="bg-BG"/>
        </w:rPr>
        <w:t xml:space="preserve">Цигари- 2 317.8 млн. лева, с 2.5% над събраните през 2016 г. </w:t>
      </w:r>
      <w:r w:rsidR="00700351">
        <w:rPr>
          <w:rFonts w:eastAsia="Times New Roman" w:cs="Times New Roman"/>
          <w:bCs/>
          <w:szCs w:val="24"/>
          <w:lang w:val="bg-BG"/>
        </w:rPr>
        <w:t xml:space="preserve">(графика </w:t>
      </w:r>
      <w:r w:rsidR="00DA57D9">
        <w:rPr>
          <w:rFonts w:eastAsia="Times New Roman" w:cs="Times New Roman"/>
          <w:bCs/>
          <w:szCs w:val="24"/>
          <w:lang w:val="bg-BG"/>
        </w:rPr>
        <w:t>№</w:t>
      </w:r>
      <w:r w:rsidR="00700351">
        <w:rPr>
          <w:rFonts w:eastAsia="Times New Roman" w:cs="Times New Roman"/>
          <w:bCs/>
          <w:szCs w:val="24"/>
          <w:lang w:val="bg-BG"/>
        </w:rPr>
        <w:t>3</w:t>
      </w:r>
      <w:r w:rsidR="00BE3F9A" w:rsidRPr="00BE3F9A">
        <w:rPr>
          <w:rFonts w:eastAsia="Times New Roman" w:cs="Times New Roman"/>
          <w:bCs/>
          <w:szCs w:val="24"/>
          <w:lang w:val="bg-BG"/>
        </w:rPr>
        <w:t>);</w:t>
      </w:r>
    </w:p>
    <w:p w:rsidR="00BE3F9A" w:rsidRDefault="00BE3F9A" w:rsidP="00933F32">
      <w:pPr>
        <w:pStyle w:val="ListParagraph"/>
        <w:numPr>
          <w:ilvl w:val="0"/>
          <w:numId w:val="1"/>
        </w:numPr>
        <w:shd w:val="clear" w:color="auto" w:fill="FFFFFF" w:themeFill="background1"/>
        <w:spacing w:after="0"/>
        <w:jc w:val="both"/>
        <w:rPr>
          <w:rFonts w:eastAsia="Times New Roman" w:cs="Times New Roman"/>
          <w:bCs/>
          <w:szCs w:val="24"/>
          <w:lang w:val="bg-BG"/>
        </w:rPr>
      </w:pPr>
      <w:r w:rsidRPr="00BE3F9A">
        <w:rPr>
          <w:rFonts w:eastAsia="Times New Roman" w:cs="Times New Roman"/>
          <w:bCs/>
          <w:szCs w:val="24"/>
          <w:lang w:val="bg-BG"/>
        </w:rPr>
        <w:t>Пури- 2.3 млн. лева, с 3.8% по –малко от събраните през 2016 г.;</w:t>
      </w:r>
    </w:p>
    <w:p w:rsidR="00BE3F9A" w:rsidRDefault="00BE3F9A" w:rsidP="00933F32">
      <w:pPr>
        <w:pStyle w:val="ListParagraph"/>
        <w:numPr>
          <w:ilvl w:val="0"/>
          <w:numId w:val="1"/>
        </w:numPr>
        <w:shd w:val="clear" w:color="auto" w:fill="FFFFFF" w:themeFill="background1"/>
        <w:spacing w:after="0"/>
        <w:jc w:val="both"/>
        <w:rPr>
          <w:rFonts w:eastAsia="Times New Roman" w:cs="Times New Roman"/>
          <w:bCs/>
          <w:szCs w:val="24"/>
          <w:lang w:val="bg-BG"/>
        </w:rPr>
      </w:pPr>
      <w:r w:rsidRPr="00BE3F9A">
        <w:rPr>
          <w:rFonts w:eastAsia="Times New Roman" w:cs="Times New Roman"/>
          <w:bCs/>
          <w:szCs w:val="24"/>
          <w:lang w:val="bg-BG"/>
        </w:rPr>
        <w:t>Тютюн за пушене- 48.5 млн. лева, 19.4</w:t>
      </w:r>
      <w:r w:rsidR="00700351">
        <w:rPr>
          <w:rFonts w:eastAsia="Times New Roman" w:cs="Times New Roman"/>
          <w:bCs/>
          <w:szCs w:val="24"/>
          <w:lang w:val="bg-BG"/>
        </w:rPr>
        <w:t>% над събраните през 2016 година.</w:t>
      </w:r>
    </w:p>
    <w:p w:rsidR="00700351" w:rsidRDefault="00700351" w:rsidP="00700351">
      <w:pPr>
        <w:shd w:val="clear" w:color="auto" w:fill="FFFFFF" w:themeFill="background1"/>
        <w:spacing w:after="0"/>
        <w:ind w:left="720"/>
        <w:jc w:val="both"/>
        <w:rPr>
          <w:rFonts w:eastAsia="Times New Roman" w:cs="Times New Roman"/>
          <w:bCs/>
          <w:szCs w:val="24"/>
          <w:lang w:val="bg-BG"/>
        </w:rPr>
      </w:pPr>
    </w:p>
    <w:p w:rsidR="00B47716" w:rsidRDefault="00B47716" w:rsidP="00021070">
      <w:pPr>
        <w:shd w:val="clear" w:color="auto" w:fill="FFFFFF" w:themeFill="background1"/>
        <w:spacing w:after="0"/>
        <w:ind w:left="7200" w:firstLine="720"/>
        <w:jc w:val="both"/>
        <w:rPr>
          <w:rFonts w:eastAsia="Times New Roman" w:cs="Times New Roman"/>
          <w:b/>
          <w:bCs/>
          <w:szCs w:val="24"/>
          <w:lang w:val="bg-BG"/>
        </w:rPr>
      </w:pPr>
    </w:p>
    <w:p w:rsidR="00B47716" w:rsidRDefault="00B47716" w:rsidP="00021070">
      <w:pPr>
        <w:shd w:val="clear" w:color="auto" w:fill="FFFFFF" w:themeFill="background1"/>
        <w:spacing w:after="0"/>
        <w:ind w:left="7200" w:firstLine="720"/>
        <w:jc w:val="both"/>
        <w:rPr>
          <w:rFonts w:eastAsia="Times New Roman" w:cs="Times New Roman"/>
          <w:b/>
          <w:bCs/>
          <w:szCs w:val="24"/>
          <w:lang w:val="bg-BG"/>
        </w:rPr>
      </w:pPr>
    </w:p>
    <w:p w:rsidR="00B47716" w:rsidRDefault="00B47716" w:rsidP="00021070">
      <w:pPr>
        <w:shd w:val="clear" w:color="auto" w:fill="FFFFFF" w:themeFill="background1"/>
        <w:spacing w:after="0"/>
        <w:ind w:left="7200" w:firstLine="720"/>
        <w:jc w:val="both"/>
        <w:rPr>
          <w:rFonts w:eastAsia="Times New Roman" w:cs="Times New Roman"/>
          <w:b/>
          <w:bCs/>
          <w:szCs w:val="24"/>
          <w:lang w:val="bg-BG"/>
        </w:rPr>
      </w:pPr>
    </w:p>
    <w:p w:rsidR="00021070" w:rsidRPr="00B47716" w:rsidRDefault="00700351" w:rsidP="00B47716">
      <w:pPr>
        <w:shd w:val="clear" w:color="auto" w:fill="FFFFFF" w:themeFill="background1"/>
        <w:spacing w:after="0"/>
        <w:ind w:left="7200" w:firstLine="3857"/>
        <w:jc w:val="both"/>
        <w:rPr>
          <w:rFonts w:eastAsia="Times New Roman" w:cs="Times New Roman"/>
          <w:b/>
          <w:bCs/>
          <w:szCs w:val="24"/>
          <w:lang w:val="bg-BG"/>
        </w:rPr>
      </w:pPr>
      <w:r w:rsidRPr="00B47716">
        <w:rPr>
          <w:rFonts w:eastAsia="Times New Roman" w:cs="Times New Roman"/>
          <w:b/>
          <w:bCs/>
          <w:szCs w:val="24"/>
          <w:lang w:val="bg-BG"/>
        </w:rPr>
        <w:lastRenderedPageBreak/>
        <w:t xml:space="preserve">Графика </w:t>
      </w:r>
      <w:r w:rsidR="00DA57D9" w:rsidRPr="00B47716">
        <w:rPr>
          <w:rFonts w:eastAsia="Times New Roman" w:cs="Times New Roman"/>
          <w:b/>
          <w:bCs/>
          <w:szCs w:val="24"/>
          <w:lang w:val="bg-BG"/>
        </w:rPr>
        <w:t>№</w:t>
      </w:r>
      <w:r w:rsidRPr="00B47716">
        <w:rPr>
          <w:rFonts w:eastAsia="Times New Roman" w:cs="Times New Roman"/>
          <w:b/>
          <w:bCs/>
          <w:szCs w:val="24"/>
          <w:lang w:val="bg-BG"/>
        </w:rPr>
        <w:t>3</w:t>
      </w:r>
    </w:p>
    <w:p w:rsidR="00021070" w:rsidRPr="00B47716" w:rsidRDefault="00021070" w:rsidP="00B47716">
      <w:pPr>
        <w:shd w:val="clear" w:color="auto" w:fill="FFFFFF" w:themeFill="background1"/>
        <w:spacing w:after="0"/>
        <w:ind w:left="1440" w:firstLine="720"/>
        <w:jc w:val="center"/>
        <w:rPr>
          <w:rFonts w:eastAsia="Times New Roman" w:cs="Times New Roman"/>
          <w:b/>
          <w:bCs/>
          <w:i/>
          <w:szCs w:val="24"/>
          <w:lang w:val="bg-BG"/>
        </w:rPr>
      </w:pPr>
      <w:r w:rsidRPr="00B47716">
        <w:rPr>
          <w:rFonts w:eastAsia="Times New Roman" w:cs="Times New Roman"/>
          <w:b/>
          <w:bCs/>
          <w:i/>
          <w:szCs w:val="24"/>
          <w:lang w:val="bg-BG"/>
        </w:rPr>
        <w:t>Приходи от акциз за цигари (млн. лева)</w:t>
      </w:r>
      <w:r w:rsidR="00B47716" w:rsidRPr="00B47716">
        <w:rPr>
          <w:rFonts w:eastAsia="Times New Roman" w:cs="Times New Roman"/>
          <w:b/>
          <w:bCs/>
          <w:i/>
          <w:szCs w:val="24"/>
          <w:lang w:val="bg-BG"/>
        </w:rPr>
        <w:t xml:space="preserve"> по месеци</w:t>
      </w:r>
      <w:r w:rsidR="00B47716">
        <w:rPr>
          <w:rFonts w:eastAsia="Times New Roman" w:cs="Times New Roman"/>
          <w:b/>
          <w:bCs/>
          <w:i/>
          <w:szCs w:val="24"/>
          <w:lang w:val="bg-BG"/>
        </w:rPr>
        <w:t xml:space="preserve"> за 2016 г. и 2017 г.</w:t>
      </w:r>
    </w:p>
    <w:p w:rsidR="00141651" w:rsidRPr="00B47716" w:rsidRDefault="00141651" w:rsidP="00B47716">
      <w:pPr>
        <w:shd w:val="clear" w:color="auto" w:fill="FFFFFF" w:themeFill="background1"/>
        <w:spacing w:after="0"/>
        <w:jc w:val="center"/>
        <w:rPr>
          <w:rFonts w:eastAsia="Times New Roman" w:cs="Times New Roman"/>
          <w:b/>
          <w:bCs/>
          <w:i/>
          <w:szCs w:val="24"/>
          <w:lang w:val="bg-BG"/>
        </w:rPr>
      </w:pPr>
    </w:p>
    <w:p w:rsidR="005142D7" w:rsidRDefault="00B47716" w:rsidP="00B47716">
      <w:pPr>
        <w:shd w:val="clear" w:color="auto" w:fill="FFFFFF" w:themeFill="background1"/>
        <w:spacing w:after="0"/>
        <w:jc w:val="center"/>
        <w:rPr>
          <w:rFonts w:eastAsia="Times New Roman" w:cs="Times New Roman"/>
          <w:bCs/>
          <w:szCs w:val="24"/>
          <w:lang w:val="bg-BG"/>
        </w:rPr>
      </w:pPr>
      <w:r>
        <w:rPr>
          <w:noProof/>
        </w:rPr>
        <w:drawing>
          <wp:inline distT="0" distB="0" distL="0" distR="0" wp14:anchorId="2D43355E" wp14:editId="3A03DDF9">
            <wp:extent cx="7858125" cy="32956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4575" w:rsidRDefault="00D84575" w:rsidP="00D84575">
      <w:pPr>
        <w:shd w:val="clear" w:color="auto" w:fill="FFFFFF" w:themeFill="background1"/>
        <w:spacing w:before="120" w:after="0"/>
        <w:ind w:firstLine="720"/>
        <w:jc w:val="both"/>
        <w:rPr>
          <w:rFonts w:eastAsia="Times New Roman" w:cs="Times New Roman"/>
          <w:bCs/>
          <w:szCs w:val="24"/>
          <w:lang w:val="bg-BG"/>
        </w:rPr>
      </w:pPr>
    </w:p>
    <w:p w:rsidR="007860A4" w:rsidRDefault="00216C1C" w:rsidP="00D84575">
      <w:pPr>
        <w:shd w:val="clear" w:color="auto" w:fill="FFFFFF" w:themeFill="background1"/>
        <w:spacing w:before="120" w:after="0"/>
        <w:ind w:firstLine="720"/>
        <w:jc w:val="both"/>
        <w:rPr>
          <w:rFonts w:eastAsia="Times New Roman" w:cs="Times New Roman"/>
          <w:bCs/>
          <w:szCs w:val="24"/>
          <w:lang w:val="bg-BG"/>
        </w:rPr>
      </w:pPr>
      <w:r>
        <w:rPr>
          <w:rFonts w:eastAsia="Times New Roman" w:cs="Times New Roman"/>
          <w:bCs/>
          <w:szCs w:val="24"/>
          <w:lang w:val="bg-BG"/>
        </w:rPr>
        <w:t>Видно от д</w:t>
      </w:r>
      <w:r w:rsidR="007860A4">
        <w:rPr>
          <w:rFonts w:eastAsia="Times New Roman" w:cs="Times New Roman"/>
          <w:bCs/>
          <w:szCs w:val="24"/>
          <w:lang w:val="bg-BG"/>
        </w:rPr>
        <w:t xml:space="preserve">анните </w:t>
      </w:r>
      <w:r>
        <w:rPr>
          <w:rFonts w:eastAsia="Times New Roman" w:cs="Times New Roman"/>
          <w:bCs/>
          <w:szCs w:val="24"/>
          <w:lang w:val="bg-BG"/>
        </w:rPr>
        <w:t xml:space="preserve">размерът на приходите от акциз </w:t>
      </w:r>
      <w:r w:rsidRPr="00216C1C">
        <w:rPr>
          <w:rFonts w:eastAsia="Times New Roman" w:cs="Times New Roman"/>
          <w:bCs/>
          <w:szCs w:val="24"/>
          <w:lang w:val="bg-BG"/>
        </w:rPr>
        <w:t>за тютюн и тютюневи изделия</w:t>
      </w:r>
      <w:r>
        <w:rPr>
          <w:rFonts w:eastAsia="Times New Roman" w:cs="Times New Roman"/>
          <w:bCs/>
          <w:szCs w:val="24"/>
          <w:lang w:val="bg-BG"/>
        </w:rPr>
        <w:t xml:space="preserve"> през 2017 г. отчита значителни месечни колебания, обусловени от специфични фактори на икономическата среда.</w:t>
      </w:r>
    </w:p>
    <w:p w:rsidR="00C77907" w:rsidRPr="00C77907" w:rsidRDefault="00C77907" w:rsidP="00D84575">
      <w:pPr>
        <w:shd w:val="clear" w:color="auto" w:fill="FFFFFF" w:themeFill="background1"/>
        <w:spacing w:before="120" w:after="0"/>
        <w:ind w:firstLine="720"/>
        <w:jc w:val="both"/>
        <w:rPr>
          <w:rFonts w:eastAsia="Times New Roman" w:cs="Times New Roman"/>
          <w:bCs/>
          <w:szCs w:val="24"/>
          <w:lang w:val="bg-BG"/>
        </w:rPr>
      </w:pPr>
      <w:r w:rsidRPr="00C77907">
        <w:rPr>
          <w:rFonts w:eastAsia="Times New Roman" w:cs="Times New Roman"/>
          <w:bCs/>
          <w:szCs w:val="24"/>
          <w:lang w:val="bg-BG"/>
        </w:rPr>
        <w:t>Приходите от акциз за тютюневи изделия през първото полугодие на 2017 г. възлизат на 1 050.9 млн. лева и формират 46.3% от общите приходи от акцизи. През анализирания период се отчита спад от 12.5% (150.1 млн. лева) спрямо същия период на 2016 година. Количествата на обложените с акциз цигари намаляват с 15.8% (от 7.293 млрд. къса за януари - юни 2016 г. на 6.142 млрд. къса за януари - юни 2017 г.). Средните ставки на акциза при цигарите за двата сравнявани периода са съответно 161.8 лева/1000 къса за  януари - юни 2016 г. и 167.6 лева/1000 къса за януари - юни 2017 г. (3.6% ръст на средните ставки).</w:t>
      </w:r>
    </w:p>
    <w:p w:rsidR="00C77907" w:rsidRDefault="00C77907" w:rsidP="00D84575">
      <w:pPr>
        <w:shd w:val="clear" w:color="auto" w:fill="FFFFFF" w:themeFill="background1"/>
        <w:spacing w:before="120" w:after="0"/>
        <w:ind w:firstLine="720"/>
        <w:jc w:val="both"/>
        <w:rPr>
          <w:rFonts w:eastAsia="Times New Roman" w:cs="Times New Roman"/>
          <w:bCs/>
          <w:szCs w:val="24"/>
          <w:lang w:val="bg-BG"/>
        </w:rPr>
      </w:pPr>
      <w:r w:rsidRPr="00C77907">
        <w:rPr>
          <w:rFonts w:eastAsia="Times New Roman" w:cs="Times New Roman"/>
          <w:bCs/>
          <w:szCs w:val="24"/>
          <w:lang w:val="bg-BG"/>
        </w:rPr>
        <w:lastRenderedPageBreak/>
        <w:t xml:space="preserve">За периода януари-юни на 2016 г. най-търсените ценови категории цигари са тези с продажна цена 4.70 лв., 4.90 лв., 4.50 лв., 5.40 лв. и 4.80 лева. За същия период на </w:t>
      </w:r>
      <w:r w:rsidR="00361DCB">
        <w:rPr>
          <w:rFonts w:eastAsia="Times New Roman" w:cs="Times New Roman"/>
          <w:bCs/>
          <w:szCs w:val="24"/>
          <w:lang w:val="bg-BG"/>
        </w:rPr>
        <w:t>2017 г.</w:t>
      </w:r>
      <w:r w:rsidRPr="00C77907">
        <w:rPr>
          <w:rFonts w:eastAsia="Times New Roman" w:cs="Times New Roman"/>
          <w:bCs/>
          <w:szCs w:val="24"/>
          <w:lang w:val="bg-BG"/>
        </w:rPr>
        <w:t xml:space="preserve"> отново най-търсени са ценовите категории 4.70 лв. и 4.90 лв., а след тях се нареждат 5.00 лв., 5.60 лв. и 4.60 лева. Делът на петте най-продавани ценови категории цигари за периода януари-юни 2017 г. е 77.9% от общото количество цигари (при 67.0% за 2016 г.). </w:t>
      </w:r>
    </w:p>
    <w:p w:rsidR="00C77907" w:rsidRDefault="00216C1C" w:rsidP="00D84575">
      <w:pPr>
        <w:shd w:val="clear" w:color="auto" w:fill="FFFFFF" w:themeFill="background1"/>
        <w:spacing w:before="120" w:after="0"/>
        <w:ind w:firstLine="720"/>
        <w:jc w:val="both"/>
        <w:rPr>
          <w:rFonts w:eastAsia="Times New Roman" w:cs="Times New Roman"/>
          <w:bCs/>
          <w:szCs w:val="24"/>
          <w:lang w:val="bg-BG"/>
        </w:rPr>
      </w:pPr>
      <w:r>
        <w:rPr>
          <w:rFonts w:eastAsia="Times New Roman" w:cs="Times New Roman"/>
          <w:bCs/>
          <w:szCs w:val="24"/>
          <w:lang w:val="bg-BG"/>
        </w:rPr>
        <w:t xml:space="preserve">През месец януари 2017 г. приходите от акциз </w:t>
      </w:r>
      <w:r w:rsidR="00361DCB">
        <w:rPr>
          <w:rFonts w:eastAsia="Times New Roman" w:cs="Times New Roman"/>
          <w:bCs/>
          <w:szCs w:val="24"/>
          <w:lang w:val="bg-BG"/>
        </w:rPr>
        <w:t xml:space="preserve">за тютюн и тютюневи изделия </w:t>
      </w:r>
      <w:r>
        <w:rPr>
          <w:rFonts w:eastAsia="Times New Roman" w:cs="Times New Roman"/>
          <w:bCs/>
          <w:szCs w:val="24"/>
          <w:lang w:val="bg-BG"/>
        </w:rPr>
        <w:t xml:space="preserve">са в размер на 421.3 млн. лева, със 72.9 млн. лева (20.9%) над събраните през същия месец на 2016 година. Основната причина за регистрирания ръст е </w:t>
      </w:r>
      <w:r w:rsidR="00C77907">
        <w:rPr>
          <w:rFonts w:eastAsia="Times New Roman" w:cs="Times New Roman"/>
          <w:bCs/>
          <w:szCs w:val="24"/>
          <w:lang w:val="bg-BG"/>
        </w:rPr>
        <w:t>значително по-голямото количество</w:t>
      </w:r>
      <w:r w:rsidR="004B71DB">
        <w:rPr>
          <w:rFonts w:eastAsia="Times New Roman" w:cs="Times New Roman"/>
          <w:bCs/>
          <w:szCs w:val="24"/>
          <w:lang w:val="bg-BG"/>
        </w:rPr>
        <w:t xml:space="preserve"> цигари, освободени за потребление през месец декември 2016 г. и обложени с акцизната ставка, приложима за 2016 година. Реализираното презапасяване, освен по-високите приходи от акциз през месец януари 2017 г. има за последица и около 5.0 млн. лева пропуснати ползи за бюджета като резултат от приложените по-ниски минимални нива на облагане за цигарите.</w:t>
      </w:r>
    </w:p>
    <w:p w:rsidR="00C77907" w:rsidRDefault="00F93EC8" w:rsidP="00D84575">
      <w:pPr>
        <w:shd w:val="clear" w:color="auto" w:fill="FFFFFF" w:themeFill="background1"/>
        <w:spacing w:before="120" w:after="0"/>
        <w:ind w:firstLine="720"/>
        <w:jc w:val="both"/>
        <w:rPr>
          <w:rFonts w:eastAsia="Times New Roman" w:cs="Times New Roman"/>
          <w:bCs/>
          <w:szCs w:val="24"/>
          <w:lang w:val="bg-BG"/>
        </w:rPr>
      </w:pPr>
      <w:r>
        <w:rPr>
          <w:rFonts w:eastAsia="Times New Roman" w:cs="Times New Roman"/>
          <w:bCs/>
          <w:szCs w:val="24"/>
          <w:lang w:val="bg-BG"/>
        </w:rPr>
        <w:t>През месеците</w:t>
      </w:r>
      <w:r w:rsidR="00C77907">
        <w:rPr>
          <w:rFonts w:eastAsia="Times New Roman" w:cs="Times New Roman"/>
          <w:bCs/>
          <w:szCs w:val="24"/>
          <w:lang w:val="bg-BG"/>
        </w:rPr>
        <w:t xml:space="preserve"> </w:t>
      </w:r>
      <w:r>
        <w:rPr>
          <w:rFonts w:eastAsia="Times New Roman" w:cs="Times New Roman"/>
          <w:bCs/>
          <w:szCs w:val="24"/>
          <w:lang w:val="bg-BG"/>
        </w:rPr>
        <w:t>февруари, март и април</w:t>
      </w:r>
      <w:r w:rsidR="00C77907">
        <w:rPr>
          <w:rFonts w:eastAsia="Times New Roman" w:cs="Times New Roman"/>
          <w:bCs/>
          <w:szCs w:val="24"/>
          <w:lang w:val="bg-BG"/>
        </w:rPr>
        <w:t xml:space="preserve"> 2017 г. (данъчни периоди) се регистрира </w:t>
      </w:r>
      <w:r w:rsidR="0032339D">
        <w:rPr>
          <w:rFonts w:eastAsia="Times New Roman" w:cs="Times New Roman"/>
          <w:bCs/>
          <w:szCs w:val="24"/>
          <w:lang w:val="bg-BG"/>
        </w:rPr>
        <w:t>непрекъснато изоставане на приходите от акциз за тютюн и тютюневи изделия спрямо събраните през съответните месеци на 2016 година. Общо за трите месеца на 2017 г.</w:t>
      </w:r>
      <w:r w:rsidR="00C77907">
        <w:rPr>
          <w:rFonts w:eastAsia="Times New Roman" w:cs="Times New Roman"/>
          <w:bCs/>
          <w:szCs w:val="24"/>
          <w:lang w:val="bg-BG"/>
        </w:rPr>
        <w:t xml:space="preserve"> освободените за потребление цигари са със 780.0 млн. къса по-малко от освободените за потребление </w:t>
      </w:r>
      <w:r w:rsidR="0032339D">
        <w:rPr>
          <w:rFonts w:eastAsia="Times New Roman" w:cs="Times New Roman"/>
          <w:bCs/>
          <w:szCs w:val="24"/>
          <w:lang w:val="bg-BG"/>
        </w:rPr>
        <w:t>през същия период на 2016 г</w:t>
      </w:r>
      <w:r w:rsidR="00C77907">
        <w:rPr>
          <w:rFonts w:eastAsia="Times New Roman" w:cs="Times New Roman"/>
          <w:bCs/>
          <w:szCs w:val="24"/>
          <w:lang w:val="bg-BG"/>
        </w:rPr>
        <w:t>.</w:t>
      </w:r>
      <w:r w:rsidR="0032339D">
        <w:rPr>
          <w:rFonts w:eastAsia="Times New Roman" w:cs="Times New Roman"/>
          <w:bCs/>
          <w:szCs w:val="24"/>
          <w:lang w:val="bg-BG"/>
        </w:rPr>
        <w:t>, а с</w:t>
      </w:r>
      <w:r w:rsidR="00C77907">
        <w:rPr>
          <w:rFonts w:eastAsia="Times New Roman" w:cs="Times New Roman"/>
          <w:bCs/>
          <w:szCs w:val="24"/>
          <w:lang w:val="bg-BG"/>
        </w:rPr>
        <w:t xml:space="preserve">ъбраните приходи </w:t>
      </w:r>
      <w:r>
        <w:rPr>
          <w:rFonts w:eastAsia="Times New Roman" w:cs="Times New Roman"/>
          <w:bCs/>
          <w:szCs w:val="24"/>
          <w:lang w:val="bg-BG"/>
        </w:rPr>
        <w:t xml:space="preserve">през съответните касови периоди (март, април, май 2017 г.) </w:t>
      </w:r>
      <w:r w:rsidR="00C77907">
        <w:rPr>
          <w:rFonts w:eastAsia="Times New Roman" w:cs="Times New Roman"/>
          <w:bCs/>
          <w:szCs w:val="24"/>
          <w:lang w:val="bg-BG"/>
        </w:rPr>
        <w:t>са с близо 117.8 млн. лева по-малко.</w:t>
      </w:r>
    </w:p>
    <w:p w:rsidR="0032339D" w:rsidRDefault="0032339D" w:rsidP="00D84575">
      <w:pPr>
        <w:shd w:val="clear" w:color="auto" w:fill="FFFFFF" w:themeFill="background1"/>
        <w:spacing w:before="120" w:after="0"/>
        <w:ind w:firstLine="720"/>
        <w:jc w:val="both"/>
        <w:rPr>
          <w:rFonts w:eastAsia="Times New Roman" w:cs="Times New Roman"/>
          <w:bCs/>
          <w:szCs w:val="24"/>
          <w:lang w:val="bg-BG"/>
        </w:rPr>
      </w:pPr>
      <w:r>
        <w:rPr>
          <w:rFonts w:eastAsia="Times New Roman" w:cs="Times New Roman"/>
          <w:bCs/>
          <w:szCs w:val="24"/>
          <w:lang w:val="bg-BG"/>
        </w:rPr>
        <w:t xml:space="preserve">Последният касов месец от първото полугодие на 2017 г. също се характеризира със значително изоставане на приходите от акциз спрямо юни 2016 година. Спадът </w:t>
      </w:r>
      <w:r w:rsidR="006A0101">
        <w:rPr>
          <w:rFonts w:eastAsia="Times New Roman" w:cs="Times New Roman"/>
          <w:bCs/>
          <w:szCs w:val="24"/>
          <w:lang w:val="bg-BG"/>
        </w:rPr>
        <w:t>през раз</w:t>
      </w:r>
      <w:r w:rsidR="00A03F57">
        <w:rPr>
          <w:rFonts w:eastAsia="Times New Roman" w:cs="Times New Roman"/>
          <w:bCs/>
          <w:szCs w:val="24"/>
          <w:lang w:val="bg-BG"/>
        </w:rPr>
        <w:t xml:space="preserve">глеждания месец се обяснява с </w:t>
      </w:r>
      <w:r w:rsidR="006A0101">
        <w:rPr>
          <w:rFonts w:eastAsia="Times New Roman" w:cs="Times New Roman"/>
          <w:bCs/>
          <w:szCs w:val="24"/>
          <w:lang w:val="bg-BG"/>
        </w:rPr>
        <w:t xml:space="preserve">по-големите количества освободени за потребление цигари през месец май 2016 г., </w:t>
      </w:r>
      <w:r w:rsidR="00322611">
        <w:rPr>
          <w:rFonts w:eastAsia="Times New Roman" w:cs="Times New Roman"/>
          <w:bCs/>
          <w:szCs w:val="24"/>
          <w:lang w:val="bg-BG"/>
        </w:rPr>
        <w:t xml:space="preserve">което е </w:t>
      </w:r>
      <w:r w:rsidR="006A0101">
        <w:rPr>
          <w:rFonts w:eastAsia="Times New Roman" w:cs="Times New Roman"/>
          <w:bCs/>
          <w:szCs w:val="24"/>
          <w:lang w:val="bg-BG"/>
        </w:rPr>
        <w:t>продиктувано от</w:t>
      </w:r>
      <w:r>
        <w:rPr>
          <w:rFonts w:eastAsia="Times New Roman" w:cs="Times New Roman"/>
          <w:bCs/>
          <w:szCs w:val="24"/>
          <w:lang w:val="bg-BG"/>
        </w:rPr>
        <w:t xml:space="preserve"> изисквания на Закона за тютюна и тютюневите изделия по отношение на потребителските опаковки на тютюневите изделия</w:t>
      </w:r>
      <w:r w:rsidR="006A0101">
        <w:rPr>
          <w:rFonts w:eastAsia="Times New Roman" w:cs="Times New Roman"/>
          <w:bCs/>
          <w:szCs w:val="24"/>
          <w:lang w:val="bg-BG"/>
        </w:rPr>
        <w:t>,</w:t>
      </w:r>
      <w:r>
        <w:rPr>
          <w:rFonts w:eastAsia="Times New Roman" w:cs="Times New Roman"/>
          <w:bCs/>
          <w:szCs w:val="24"/>
          <w:lang w:val="bg-BG"/>
        </w:rPr>
        <w:t xml:space="preserve"> </w:t>
      </w:r>
      <w:r w:rsidR="006A0101">
        <w:rPr>
          <w:rFonts w:eastAsia="Times New Roman" w:cs="Times New Roman"/>
          <w:bCs/>
          <w:szCs w:val="24"/>
          <w:lang w:val="bg-BG"/>
        </w:rPr>
        <w:t>а не от обективни пазарни потребности</w:t>
      </w:r>
      <w:r>
        <w:rPr>
          <w:rFonts w:eastAsia="Times New Roman" w:cs="Times New Roman"/>
          <w:bCs/>
          <w:szCs w:val="24"/>
          <w:lang w:val="bg-BG"/>
        </w:rPr>
        <w:t>.</w:t>
      </w:r>
    </w:p>
    <w:p w:rsidR="00500C55" w:rsidRDefault="006A0101" w:rsidP="00D84575">
      <w:pPr>
        <w:shd w:val="clear" w:color="auto" w:fill="FFFFFF" w:themeFill="background1"/>
        <w:spacing w:before="120" w:after="0"/>
        <w:ind w:firstLine="720"/>
        <w:jc w:val="both"/>
        <w:rPr>
          <w:rFonts w:eastAsia="Times New Roman" w:cs="Times New Roman"/>
          <w:bCs/>
          <w:szCs w:val="24"/>
          <w:lang w:val="bg-BG"/>
        </w:rPr>
      </w:pPr>
      <w:r>
        <w:rPr>
          <w:rFonts w:eastAsia="Times New Roman" w:cs="Times New Roman"/>
          <w:bCs/>
          <w:szCs w:val="24"/>
          <w:lang w:val="bg-BG"/>
        </w:rPr>
        <w:t xml:space="preserve">От началото на месец юли 2017 г. до края на годината месечните приходи от акциз за тютюн и тютюневи изделия трайно превишават събраните през </w:t>
      </w:r>
      <w:r w:rsidR="00956A31">
        <w:rPr>
          <w:rFonts w:eastAsia="Times New Roman" w:cs="Times New Roman"/>
          <w:bCs/>
          <w:szCs w:val="24"/>
          <w:lang w:val="bg-BG"/>
        </w:rPr>
        <w:t>съот</w:t>
      </w:r>
      <w:r w:rsidR="00F93158">
        <w:rPr>
          <w:rFonts w:eastAsia="Times New Roman" w:cs="Times New Roman"/>
          <w:bCs/>
          <w:szCs w:val="24"/>
          <w:lang w:val="bg-BG"/>
        </w:rPr>
        <w:t>ветните месеци на 2016 г</w:t>
      </w:r>
      <w:r w:rsidR="00956A31">
        <w:rPr>
          <w:rFonts w:eastAsia="Times New Roman" w:cs="Times New Roman"/>
          <w:bCs/>
          <w:szCs w:val="24"/>
          <w:lang w:val="bg-BG"/>
        </w:rPr>
        <w:t>.</w:t>
      </w:r>
      <w:r w:rsidR="00F93158">
        <w:rPr>
          <w:rFonts w:eastAsia="Times New Roman" w:cs="Times New Roman"/>
          <w:bCs/>
          <w:szCs w:val="24"/>
          <w:lang w:val="bg-BG"/>
        </w:rPr>
        <w:t xml:space="preserve"> като ръст се наблюдава през всеки един от месеците.</w:t>
      </w:r>
      <w:r w:rsidR="00956A31">
        <w:rPr>
          <w:rFonts w:eastAsia="Times New Roman" w:cs="Times New Roman"/>
          <w:bCs/>
          <w:szCs w:val="24"/>
          <w:lang w:val="bg-BG"/>
        </w:rPr>
        <w:t xml:space="preserve"> В резултат на предприетите действия от </w:t>
      </w:r>
      <w:r w:rsidR="00956A31" w:rsidRPr="003B097F">
        <w:rPr>
          <w:rFonts w:eastAsia="Times New Roman" w:cs="Times New Roman"/>
          <w:bCs/>
          <w:szCs w:val="24"/>
          <w:lang w:val="bg-BG"/>
        </w:rPr>
        <w:t>органите, ангажирани в администрирането на приходите от акциз и контрола на цялостната верига за доставката на акцизни стоки</w:t>
      </w:r>
      <w:r w:rsidR="00956A31">
        <w:rPr>
          <w:rFonts w:eastAsia="Times New Roman" w:cs="Times New Roman"/>
          <w:bCs/>
          <w:szCs w:val="24"/>
          <w:lang w:val="bg-BG"/>
        </w:rPr>
        <w:t xml:space="preserve">, </w:t>
      </w:r>
      <w:r w:rsidR="00322611">
        <w:rPr>
          <w:rFonts w:eastAsia="Times New Roman" w:cs="Times New Roman"/>
          <w:bCs/>
          <w:szCs w:val="24"/>
          <w:lang w:val="bg-BG"/>
        </w:rPr>
        <w:t xml:space="preserve">спрямо 2016 г. </w:t>
      </w:r>
      <w:r w:rsidR="00956A31">
        <w:rPr>
          <w:rFonts w:eastAsia="Times New Roman" w:cs="Times New Roman"/>
          <w:bCs/>
          <w:szCs w:val="24"/>
          <w:lang w:val="bg-BG"/>
        </w:rPr>
        <w:t>през второто полугодие на 2017 г. приходите от акциз за тютюн и тютюневи изделия се увеличават с 19.5% като достигат 1 317.7 млн. лева, 55.6% от общо събраните за годината</w:t>
      </w:r>
      <w:r w:rsidR="00F70B0E">
        <w:rPr>
          <w:rFonts w:eastAsia="Times New Roman" w:cs="Times New Roman"/>
          <w:bCs/>
          <w:szCs w:val="24"/>
          <w:lang w:val="bg-BG"/>
        </w:rPr>
        <w:t xml:space="preserve"> (графика </w:t>
      </w:r>
      <w:r w:rsidR="00D84575">
        <w:rPr>
          <w:rFonts w:eastAsia="Times New Roman" w:cs="Times New Roman"/>
          <w:bCs/>
          <w:szCs w:val="24"/>
          <w:lang w:val="bg-BG"/>
        </w:rPr>
        <w:t>№</w:t>
      </w:r>
      <w:r w:rsidR="00F70B0E">
        <w:rPr>
          <w:rFonts w:eastAsia="Times New Roman" w:cs="Times New Roman"/>
          <w:bCs/>
          <w:szCs w:val="24"/>
          <w:lang w:val="bg-BG"/>
        </w:rPr>
        <w:t>4</w:t>
      </w:r>
      <w:r w:rsidR="00500C55">
        <w:rPr>
          <w:rFonts w:eastAsia="Times New Roman" w:cs="Times New Roman"/>
          <w:bCs/>
          <w:szCs w:val="24"/>
          <w:lang w:val="bg-BG"/>
        </w:rPr>
        <w:t>)</w:t>
      </w:r>
      <w:r w:rsidR="00956A31">
        <w:rPr>
          <w:rFonts w:eastAsia="Times New Roman" w:cs="Times New Roman"/>
          <w:bCs/>
          <w:szCs w:val="24"/>
          <w:lang w:val="bg-BG"/>
        </w:rPr>
        <w:t xml:space="preserve">. </w:t>
      </w:r>
    </w:p>
    <w:p w:rsidR="00D9480C" w:rsidRDefault="00D9480C" w:rsidP="009468F1">
      <w:pPr>
        <w:shd w:val="clear" w:color="auto" w:fill="FFFFFF" w:themeFill="background1"/>
        <w:spacing w:after="0"/>
        <w:ind w:firstLine="720"/>
        <w:jc w:val="both"/>
        <w:rPr>
          <w:rFonts w:eastAsia="Times New Roman" w:cs="Times New Roman"/>
          <w:bCs/>
          <w:szCs w:val="24"/>
          <w:lang w:val="bg-BG"/>
        </w:rPr>
      </w:pPr>
    </w:p>
    <w:p w:rsidR="00F70B0E" w:rsidRDefault="00F70B0E" w:rsidP="009468F1">
      <w:pPr>
        <w:shd w:val="clear" w:color="auto" w:fill="FFFFFF" w:themeFill="background1"/>
        <w:spacing w:after="0"/>
        <w:ind w:firstLine="720"/>
        <w:jc w:val="both"/>
        <w:rPr>
          <w:rFonts w:eastAsia="Times New Roman" w:cs="Times New Roman"/>
          <w:bCs/>
          <w:szCs w:val="24"/>
          <w:lang w:val="bg-BG"/>
        </w:rPr>
      </w:pPr>
    </w:p>
    <w:p w:rsidR="00D84575" w:rsidRDefault="00D84575" w:rsidP="009468F1">
      <w:pPr>
        <w:shd w:val="clear" w:color="auto" w:fill="FFFFFF" w:themeFill="background1"/>
        <w:spacing w:after="0"/>
        <w:ind w:firstLine="720"/>
        <w:jc w:val="both"/>
        <w:rPr>
          <w:rFonts w:eastAsia="Times New Roman" w:cs="Times New Roman"/>
          <w:bCs/>
          <w:szCs w:val="24"/>
          <w:lang w:val="bg-BG"/>
        </w:rPr>
      </w:pPr>
    </w:p>
    <w:p w:rsidR="00D84575" w:rsidRDefault="00D84575" w:rsidP="009468F1">
      <w:pPr>
        <w:shd w:val="clear" w:color="auto" w:fill="FFFFFF" w:themeFill="background1"/>
        <w:spacing w:after="0"/>
        <w:ind w:firstLine="720"/>
        <w:jc w:val="both"/>
        <w:rPr>
          <w:rFonts w:eastAsia="Times New Roman" w:cs="Times New Roman"/>
          <w:bCs/>
          <w:szCs w:val="24"/>
          <w:lang w:val="bg-BG"/>
        </w:rPr>
      </w:pPr>
    </w:p>
    <w:p w:rsidR="00D84575" w:rsidRDefault="00D84575" w:rsidP="009468F1">
      <w:pPr>
        <w:shd w:val="clear" w:color="auto" w:fill="FFFFFF" w:themeFill="background1"/>
        <w:spacing w:after="0"/>
        <w:ind w:firstLine="720"/>
        <w:jc w:val="both"/>
        <w:rPr>
          <w:rFonts w:eastAsia="Times New Roman" w:cs="Times New Roman"/>
          <w:bCs/>
          <w:szCs w:val="24"/>
          <w:lang w:val="bg-BG"/>
        </w:rPr>
      </w:pPr>
    </w:p>
    <w:p w:rsidR="00F70B0E" w:rsidRPr="00D9480C" w:rsidRDefault="00D84575" w:rsidP="00D84575">
      <w:pPr>
        <w:shd w:val="clear" w:color="auto" w:fill="FFFFFF" w:themeFill="background1"/>
        <w:spacing w:after="0"/>
        <w:ind w:left="7200" w:firstLine="3999"/>
        <w:jc w:val="both"/>
        <w:rPr>
          <w:rFonts w:eastAsia="Times New Roman" w:cs="Times New Roman"/>
          <w:b/>
          <w:bCs/>
          <w:szCs w:val="24"/>
          <w:lang w:val="bg-BG"/>
        </w:rPr>
      </w:pPr>
      <w:r>
        <w:rPr>
          <w:rFonts w:eastAsia="Times New Roman" w:cs="Times New Roman"/>
          <w:b/>
          <w:bCs/>
          <w:szCs w:val="24"/>
          <w:lang w:val="bg-BG"/>
        </w:rPr>
        <w:t>Графика №4</w:t>
      </w:r>
    </w:p>
    <w:p w:rsidR="00D9480C" w:rsidRPr="00D84575" w:rsidRDefault="00D9480C" w:rsidP="00D9480C">
      <w:pPr>
        <w:shd w:val="clear" w:color="auto" w:fill="FFFFFF" w:themeFill="background1"/>
        <w:spacing w:after="0"/>
        <w:jc w:val="center"/>
        <w:rPr>
          <w:rFonts w:eastAsia="Times New Roman" w:cs="Times New Roman"/>
          <w:b/>
          <w:bCs/>
          <w:i/>
          <w:szCs w:val="24"/>
          <w:lang w:val="bg-BG"/>
        </w:rPr>
      </w:pPr>
      <w:r w:rsidRPr="00D84575">
        <w:rPr>
          <w:rFonts w:eastAsia="Times New Roman" w:cs="Times New Roman"/>
          <w:b/>
          <w:bCs/>
          <w:i/>
          <w:szCs w:val="24"/>
          <w:lang w:val="bg-BG"/>
        </w:rPr>
        <w:t>Приходи от акциз за тютюн и тютюневи изделия</w:t>
      </w:r>
      <w:r w:rsidR="00D84575">
        <w:rPr>
          <w:rFonts w:eastAsia="Times New Roman" w:cs="Times New Roman"/>
          <w:b/>
          <w:bCs/>
          <w:i/>
          <w:szCs w:val="24"/>
          <w:lang w:val="bg-BG"/>
        </w:rPr>
        <w:t xml:space="preserve"> (млн. лв.) </w:t>
      </w:r>
      <w:r w:rsidRPr="00D84575">
        <w:rPr>
          <w:rFonts w:eastAsia="Times New Roman" w:cs="Times New Roman"/>
          <w:b/>
          <w:bCs/>
          <w:i/>
          <w:szCs w:val="24"/>
          <w:lang w:val="bg-BG"/>
        </w:rPr>
        <w:t>първо/второ полугодие на 2017 година</w:t>
      </w:r>
    </w:p>
    <w:p w:rsidR="00D84575" w:rsidRDefault="00D84575" w:rsidP="00D9480C">
      <w:pPr>
        <w:shd w:val="clear" w:color="auto" w:fill="FFFFFF" w:themeFill="background1"/>
        <w:spacing w:after="0"/>
        <w:jc w:val="center"/>
        <w:rPr>
          <w:rFonts w:eastAsia="Times New Roman" w:cs="Times New Roman"/>
          <w:bCs/>
          <w:szCs w:val="24"/>
          <w:lang w:val="bg-BG"/>
        </w:rPr>
      </w:pPr>
      <w:r>
        <w:rPr>
          <w:noProof/>
        </w:rPr>
        <w:drawing>
          <wp:inline distT="0" distB="0" distL="0" distR="0" wp14:anchorId="4F20CC39" wp14:editId="38F5F3D9">
            <wp:extent cx="6553200" cy="317182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0C55" w:rsidRDefault="00500C55" w:rsidP="009468F1">
      <w:pPr>
        <w:shd w:val="clear" w:color="auto" w:fill="FFFFFF" w:themeFill="background1"/>
        <w:spacing w:after="0"/>
        <w:ind w:firstLine="720"/>
        <w:jc w:val="both"/>
        <w:rPr>
          <w:rFonts w:eastAsia="Times New Roman" w:cs="Times New Roman"/>
          <w:bCs/>
          <w:szCs w:val="24"/>
          <w:lang w:val="bg-BG"/>
        </w:rPr>
      </w:pPr>
    </w:p>
    <w:p w:rsidR="00500C55" w:rsidRDefault="00500C55" w:rsidP="00500C55">
      <w:pPr>
        <w:shd w:val="clear" w:color="auto" w:fill="FFFFFF" w:themeFill="background1"/>
        <w:spacing w:after="0"/>
        <w:jc w:val="both"/>
        <w:rPr>
          <w:rFonts w:eastAsia="Times New Roman" w:cs="Times New Roman"/>
          <w:bCs/>
          <w:szCs w:val="24"/>
          <w:lang w:val="bg-BG"/>
        </w:rPr>
      </w:pPr>
    </w:p>
    <w:p w:rsidR="00CE3351" w:rsidRDefault="0040010E" w:rsidP="004C454F">
      <w:pPr>
        <w:shd w:val="clear" w:color="auto" w:fill="FFFFFF" w:themeFill="background1"/>
        <w:spacing w:before="120" w:after="0"/>
        <w:ind w:firstLine="720"/>
        <w:jc w:val="both"/>
        <w:rPr>
          <w:rFonts w:eastAsia="Times New Roman" w:cs="Times New Roman"/>
          <w:bCs/>
          <w:szCs w:val="24"/>
          <w:lang w:val="bg-BG"/>
        </w:rPr>
      </w:pPr>
      <w:r>
        <w:rPr>
          <w:rFonts w:eastAsia="Times New Roman" w:cs="Times New Roman"/>
          <w:bCs/>
          <w:szCs w:val="24"/>
          <w:lang w:val="bg-BG"/>
        </w:rPr>
        <w:t xml:space="preserve">През </w:t>
      </w:r>
      <w:r w:rsidR="00500C55">
        <w:rPr>
          <w:rFonts w:eastAsia="Times New Roman" w:cs="Times New Roman"/>
          <w:bCs/>
          <w:szCs w:val="24"/>
          <w:lang w:val="bg-BG"/>
        </w:rPr>
        <w:t>втората половина на 2017 г.</w:t>
      </w:r>
      <w:r>
        <w:rPr>
          <w:rFonts w:eastAsia="Times New Roman" w:cs="Times New Roman"/>
          <w:bCs/>
          <w:szCs w:val="24"/>
          <w:lang w:val="bg-BG"/>
        </w:rPr>
        <w:t xml:space="preserve"> митническите служители са иззели и задържали 28.5 млн. къса цигари, предмет на нарушение или престъпление, с 39.6% над задържаните за същия период на 2016 година. </w:t>
      </w:r>
      <w:r w:rsidR="009468F1">
        <w:rPr>
          <w:rFonts w:eastAsia="Times New Roman" w:cs="Times New Roman"/>
          <w:bCs/>
          <w:szCs w:val="24"/>
          <w:lang w:val="bg-BG"/>
        </w:rPr>
        <w:t>Успешните действия на митническите органи, а и на органите на МВР</w:t>
      </w:r>
      <w:r w:rsidR="00361DCB">
        <w:rPr>
          <w:rFonts w:eastAsia="Times New Roman" w:cs="Times New Roman"/>
          <w:bCs/>
          <w:szCs w:val="24"/>
          <w:lang w:val="bg-BG"/>
        </w:rPr>
        <w:t>,</w:t>
      </w:r>
      <w:r w:rsidR="009468F1">
        <w:rPr>
          <w:rFonts w:eastAsia="Times New Roman" w:cs="Times New Roman"/>
          <w:bCs/>
          <w:szCs w:val="24"/>
          <w:lang w:val="bg-BG"/>
        </w:rPr>
        <w:t xml:space="preserve"> намират потвърждение</w:t>
      </w:r>
      <w:r w:rsidR="009468F1" w:rsidRPr="009468F1">
        <w:rPr>
          <w:rFonts w:eastAsia="Times New Roman" w:cs="Times New Roman"/>
          <w:bCs/>
          <w:szCs w:val="24"/>
          <w:lang w:val="bg-BG"/>
        </w:rPr>
        <w:t xml:space="preserve"> </w:t>
      </w:r>
      <w:r w:rsidR="009468F1">
        <w:rPr>
          <w:rFonts w:eastAsia="Times New Roman" w:cs="Times New Roman"/>
          <w:bCs/>
          <w:szCs w:val="24"/>
          <w:lang w:val="bg-BG"/>
        </w:rPr>
        <w:t xml:space="preserve">и в </w:t>
      </w:r>
      <w:r w:rsidR="009468F1" w:rsidRPr="00B532A7">
        <w:rPr>
          <w:rFonts w:eastAsia="Times New Roman" w:cs="Times New Roman"/>
          <w:bCs/>
          <w:szCs w:val="24"/>
          <w:lang w:val="bg-BG"/>
        </w:rPr>
        <w:t xml:space="preserve">доклада на </w:t>
      </w:r>
      <w:proofErr w:type="spellStart"/>
      <w:r w:rsidR="009468F1" w:rsidRPr="00B532A7">
        <w:rPr>
          <w:rFonts w:eastAsia="Times New Roman" w:cs="Times New Roman"/>
          <w:bCs/>
          <w:szCs w:val="24"/>
          <w:lang w:val="bg-BG"/>
        </w:rPr>
        <w:t>АСNielsen</w:t>
      </w:r>
      <w:proofErr w:type="spellEnd"/>
      <w:r w:rsidR="009468F1" w:rsidRPr="00B532A7">
        <w:rPr>
          <w:rFonts w:eastAsia="Times New Roman" w:cs="Times New Roman"/>
          <w:bCs/>
          <w:szCs w:val="24"/>
          <w:lang w:val="bg-BG"/>
        </w:rPr>
        <w:t xml:space="preserve"> за резултатите от проучването на пазара чрез събиране и анализ на празни кутии от цигари, през третото тримесечие на 2017 г.</w:t>
      </w:r>
      <w:r w:rsidR="009468F1">
        <w:rPr>
          <w:rFonts w:eastAsia="Times New Roman" w:cs="Times New Roman"/>
          <w:bCs/>
          <w:szCs w:val="24"/>
          <w:lang w:val="bg-BG"/>
        </w:rPr>
        <w:t xml:space="preserve">, според който </w:t>
      </w:r>
      <w:r w:rsidR="009468F1" w:rsidRPr="00B532A7">
        <w:rPr>
          <w:rFonts w:eastAsia="Times New Roman" w:cs="Times New Roman"/>
          <w:bCs/>
          <w:szCs w:val="24"/>
          <w:lang w:val="bg-BG"/>
        </w:rPr>
        <w:t>нивото на потреблението на цигари, непредназначени за месния пазар е спаднало с 1.0%, от 7.0% през второто тримесечие на 2017 г. до 6.0% в края на третото тримесечие.</w:t>
      </w:r>
      <w:r w:rsidR="009468F1">
        <w:rPr>
          <w:rFonts w:eastAsia="Times New Roman" w:cs="Times New Roman"/>
          <w:bCs/>
          <w:szCs w:val="24"/>
          <w:lang w:val="bg-BG"/>
        </w:rPr>
        <w:t xml:space="preserve"> </w:t>
      </w:r>
      <w:r w:rsidR="0008481C">
        <w:rPr>
          <w:rFonts w:eastAsia="Times New Roman" w:cs="Times New Roman"/>
          <w:bCs/>
          <w:szCs w:val="24"/>
          <w:lang w:val="bg-BG"/>
        </w:rPr>
        <w:t xml:space="preserve">Липсата на промени в нормативната уредба, регламентираща дейностите с тютюн и тютюневи изделия през втората половина на 2017 г. от своя страна доведе до по- равномерни месечни постъпления от акциз за групата. </w:t>
      </w:r>
      <w:r w:rsidR="00956A31">
        <w:rPr>
          <w:rFonts w:eastAsia="Times New Roman" w:cs="Times New Roman"/>
          <w:bCs/>
          <w:szCs w:val="24"/>
          <w:lang w:val="bg-BG"/>
        </w:rPr>
        <w:t xml:space="preserve">Количествата освободени за потребление цигари нарастват с 15.6%, над 1.000 млрд. къса повече от освободените за потребление през второто полугодие на 2016 г. и с 1.422 млрд. къса повече от първото полугодие на 2017 година. </w:t>
      </w:r>
    </w:p>
    <w:p w:rsidR="007928EF" w:rsidRPr="004C454F" w:rsidRDefault="00DF1567" w:rsidP="004C454F">
      <w:pPr>
        <w:shd w:val="clear" w:color="auto" w:fill="FFFFFF" w:themeFill="background1"/>
        <w:spacing w:before="120" w:after="0"/>
        <w:ind w:firstLine="720"/>
        <w:jc w:val="both"/>
        <w:rPr>
          <w:rFonts w:eastAsia="Times New Roman" w:cs="Times New Roman"/>
          <w:bCs/>
          <w:szCs w:val="24"/>
          <w:lang w:val="bg-BG"/>
        </w:rPr>
      </w:pPr>
      <w:r>
        <w:rPr>
          <w:rFonts w:eastAsia="Times New Roman" w:cs="Times New Roman"/>
          <w:bCs/>
          <w:szCs w:val="24"/>
          <w:lang w:val="bg-BG"/>
        </w:rPr>
        <w:lastRenderedPageBreak/>
        <w:t xml:space="preserve">На годишна база </w:t>
      </w:r>
      <w:r w:rsidR="00CE3351">
        <w:rPr>
          <w:rFonts w:eastAsia="Times New Roman" w:cs="Times New Roman"/>
          <w:bCs/>
          <w:szCs w:val="24"/>
          <w:lang w:val="bg-BG"/>
        </w:rPr>
        <w:t xml:space="preserve">средната акцизна ставка при цигарите нараства от 163.5 лв./1000 къса </w:t>
      </w:r>
      <w:r w:rsidR="00CE3351" w:rsidRPr="004C454F">
        <w:rPr>
          <w:rFonts w:eastAsia="Times New Roman" w:cs="Times New Roman"/>
          <w:bCs/>
          <w:szCs w:val="24"/>
          <w:lang w:val="bg-BG"/>
        </w:rPr>
        <w:t xml:space="preserve">за 2016 г. на 169.1 лв./1000 къса за 2017 г. (3.5%), а </w:t>
      </w:r>
      <w:r w:rsidRPr="004C454F">
        <w:rPr>
          <w:rFonts w:eastAsia="Times New Roman" w:cs="Times New Roman"/>
          <w:bCs/>
          <w:szCs w:val="24"/>
          <w:lang w:val="bg-BG"/>
        </w:rPr>
        <w:t>количествата освободени за потребление цигари отчитат спад от 0.9% спрямо 2016 г., но този резултат е обичаен предвид ръста на минималните нива на облагане и усилията за намаляване на потреблението на този продукт.</w:t>
      </w:r>
      <w:r w:rsidR="00CE3351" w:rsidRPr="004C454F">
        <w:rPr>
          <w:rFonts w:eastAsia="Times New Roman" w:cs="Times New Roman"/>
          <w:bCs/>
          <w:szCs w:val="24"/>
          <w:lang w:val="bg-BG"/>
        </w:rPr>
        <w:t xml:space="preserve"> </w:t>
      </w:r>
      <w:r w:rsidR="007928EF" w:rsidRPr="004C454F">
        <w:rPr>
          <w:rFonts w:eastAsia="Times New Roman" w:cs="Times New Roman"/>
          <w:bCs/>
          <w:szCs w:val="24"/>
          <w:lang w:val="bg-BG"/>
        </w:rPr>
        <w:t xml:space="preserve">При </w:t>
      </w:r>
      <w:r w:rsidR="00E61A7F" w:rsidRPr="004C454F">
        <w:rPr>
          <w:rFonts w:eastAsia="Times New Roman" w:cs="Times New Roman"/>
          <w:bCs/>
          <w:szCs w:val="24"/>
          <w:lang w:val="bg-BG"/>
        </w:rPr>
        <w:t>оценка</w:t>
      </w:r>
      <w:r w:rsidR="007928EF" w:rsidRPr="004C454F">
        <w:rPr>
          <w:rFonts w:eastAsia="Times New Roman" w:cs="Times New Roman"/>
          <w:bCs/>
          <w:szCs w:val="24"/>
          <w:lang w:val="bg-BG"/>
        </w:rPr>
        <w:t xml:space="preserve"> на динамиката на освободените за потребление количества цигари следва да се има предвид и промяната в структурата на потреблението, която е резултат също от повишаването на минималните нива на облагане с акциз на цигарите и води до повишаване на потреблението на тютюн за пушене или други алтернативни изделия. През 2017 г. освободеният за потребление тютюн за пушене е 319 073 кг, което количество приравнено към късове цигари съответства на 425.4 млн. къса цигари</w:t>
      </w:r>
      <w:r w:rsidR="00E61A7F" w:rsidRPr="004C454F">
        <w:rPr>
          <w:rFonts w:eastAsia="Times New Roman" w:cs="Times New Roman"/>
          <w:bCs/>
          <w:szCs w:val="24"/>
          <w:lang w:val="bg-BG"/>
        </w:rPr>
        <w:t xml:space="preserve"> (коефициент за приравняване 0.75 </w:t>
      </w:r>
      <w:proofErr w:type="spellStart"/>
      <w:r w:rsidR="00E61A7F" w:rsidRPr="004C454F">
        <w:rPr>
          <w:rFonts w:eastAsia="Times New Roman" w:cs="Times New Roman"/>
          <w:bCs/>
          <w:szCs w:val="24"/>
          <w:lang w:val="bg-BG"/>
        </w:rPr>
        <w:t>гр</w:t>
      </w:r>
      <w:proofErr w:type="spellEnd"/>
      <w:r w:rsidR="00E61A7F" w:rsidRPr="004C454F">
        <w:rPr>
          <w:rFonts w:eastAsia="Times New Roman" w:cs="Times New Roman"/>
          <w:bCs/>
          <w:szCs w:val="24"/>
          <w:lang w:val="bg-BG"/>
        </w:rPr>
        <w:t>/къс)</w:t>
      </w:r>
      <w:r w:rsidR="007928EF" w:rsidRPr="004C454F">
        <w:rPr>
          <w:rFonts w:eastAsia="Times New Roman" w:cs="Times New Roman"/>
          <w:bCs/>
          <w:szCs w:val="24"/>
          <w:lang w:val="bg-BG"/>
        </w:rPr>
        <w:t xml:space="preserve">. Количествата освободен за потребление тютюн през 2016 г. съответстват на 356.3 млн. къса. Ръстът в освободените за потребление количества тютюн </w:t>
      </w:r>
      <w:r w:rsidR="00321813" w:rsidRPr="004C454F">
        <w:rPr>
          <w:rFonts w:eastAsia="Times New Roman" w:cs="Times New Roman"/>
          <w:bCs/>
          <w:szCs w:val="24"/>
          <w:lang w:val="bg-BG"/>
        </w:rPr>
        <w:t xml:space="preserve">през 2017 г. спрямо 2016 г. </w:t>
      </w:r>
      <w:r w:rsidR="007928EF" w:rsidRPr="004C454F">
        <w:rPr>
          <w:rFonts w:eastAsia="Times New Roman" w:cs="Times New Roman"/>
          <w:bCs/>
          <w:szCs w:val="24"/>
          <w:lang w:val="bg-BG"/>
        </w:rPr>
        <w:t>съответства на 69.1 млн. къса цигари, задоволяващи</w:t>
      </w:r>
      <w:r w:rsidR="00A1748B" w:rsidRPr="004C454F">
        <w:rPr>
          <w:rFonts w:eastAsia="Times New Roman" w:cs="Times New Roman"/>
          <w:bCs/>
          <w:szCs w:val="24"/>
          <w:lang w:val="bg-BG"/>
        </w:rPr>
        <w:t xml:space="preserve"> потреблението през 2017 г., което в голяма степен компенсира изоставането в освободените за потребление цигари.</w:t>
      </w:r>
    </w:p>
    <w:p w:rsidR="00B532A7" w:rsidRPr="004C454F" w:rsidRDefault="00CE3351" w:rsidP="004C454F">
      <w:pPr>
        <w:shd w:val="clear" w:color="auto" w:fill="FFFFFF" w:themeFill="background1"/>
        <w:spacing w:before="120" w:after="0"/>
        <w:ind w:firstLine="720"/>
        <w:jc w:val="both"/>
        <w:rPr>
          <w:rFonts w:eastAsia="Times New Roman" w:cs="Times New Roman"/>
          <w:bCs/>
          <w:szCs w:val="24"/>
          <w:lang w:val="bg-BG"/>
        </w:rPr>
      </w:pPr>
      <w:r w:rsidRPr="004C454F">
        <w:rPr>
          <w:rFonts w:eastAsia="Times New Roman" w:cs="Times New Roman"/>
          <w:bCs/>
          <w:szCs w:val="24"/>
          <w:lang w:val="bg-BG"/>
        </w:rPr>
        <w:t xml:space="preserve">Ефектът от </w:t>
      </w:r>
      <w:r w:rsidR="00115F77" w:rsidRPr="004C454F">
        <w:rPr>
          <w:rFonts w:eastAsia="Times New Roman" w:cs="Times New Roman"/>
          <w:bCs/>
          <w:szCs w:val="24"/>
          <w:lang w:val="bg-BG"/>
        </w:rPr>
        <w:t>ръста на средната акцизна ставка при цигарите се изразява в ръст на приходите от акциз с около 77.8 млн. лева. Спадът на освободените за потребление количества цигари има като ефект приблизително 21.0 млн. лева по-ниски приходи от акциз. Нетният ефект от действието на двата фактора е събрани 56.8 млн. лева повече приходи от акциз за цигари през 2017 г. в сравнение с 2016 година.</w:t>
      </w:r>
    </w:p>
    <w:p w:rsidR="009468F1" w:rsidRDefault="00F93158" w:rsidP="004C454F">
      <w:pPr>
        <w:shd w:val="clear" w:color="auto" w:fill="FFFFFF" w:themeFill="background1"/>
        <w:spacing w:before="120" w:after="0"/>
        <w:ind w:firstLine="720"/>
        <w:jc w:val="both"/>
        <w:rPr>
          <w:rFonts w:eastAsia="Times New Roman" w:cs="Times New Roman"/>
          <w:bCs/>
          <w:szCs w:val="24"/>
          <w:lang w:val="bg-BG"/>
        </w:rPr>
      </w:pPr>
      <w:r w:rsidRPr="004C454F">
        <w:rPr>
          <w:rFonts w:eastAsia="Times New Roman" w:cs="Times New Roman"/>
          <w:bCs/>
          <w:szCs w:val="24"/>
          <w:lang w:val="bg-BG"/>
        </w:rPr>
        <w:t>Предвидимата икономическа среда и институционалната стабилност на органите, ангажирани в администрирането на приходите от акциз и контрола на цялостната верига за доставката на акцизни стоки доведе до пълно</w:t>
      </w:r>
      <w:r>
        <w:rPr>
          <w:rFonts w:eastAsia="Times New Roman" w:cs="Times New Roman"/>
          <w:bCs/>
          <w:szCs w:val="24"/>
          <w:lang w:val="bg-BG"/>
        </w:rPr>
        <w:t xml:space="preserve"> компенсиране на изоставането на приходите през първото полугодие на 2017 г. и в крайна сметка до изпълнение на заложените за 2017 г. приходи </w:t>
      </w:r>
      <w:r w:rsidRPr="00F93158">
        <w:rPr>
          <w:rFonts w:eastAsia="Times New Roman" w:cs="Times New Roman"/>
          <w:bCs/>
          <w:szCs w:val="24"/>
          <w:lang w:val="bg-BG"/>
        </w:rPr>
        <w:t>от акциз за тютюн и тютюневи изделия</w:t>
      </w:r>
      <w:r>
        <w:rPr>
          <w:rFonts w:eastAsia="Times New Roman" w:cs="Times New Roman"/>
          <w:bCs/>
          <w:szCs w:val="24"/>
          <w:lang w:val="bg-BG"/>
        </w:rPr>
        <w:t>.</w:t>
      </w:r>
      <w:r w:rsidR="00B532A7">
        <w:rPr>
          <w:rFonts w:eastAsia="Times New Roman" w:cs="Times New Roman"/>
          <w:bCs/>
          <w:szCs w:val="24"/>
          <w:lang w:val="bg-BG"/>
        </w:rPr>
        <w:t xml:space="preserve"> </w:t>
      </w:r>
      <w:r w:rsidR="00D8015F">
        <w:rPr>
          <w:rFonts w:eastAsia="Times New Roman" w:cs="Times New Roman"/>
          <w:bCs/>
          <w:szCs w:val="24"/>
          <w:lang w:val="bg-BG"/>
        </w:rPr>
        <w:t xml:space="preserve"> </w:t>
      </w:r>
      <w:r w:rsidR="0040010E">
        <w:rPr>
          <w:rFonts w:eastAsia="Times New Roman" w:cs="Times New Roman"/>
          <w:bCs/>
          <w:szCs w:val="24"/>
          <w:lang w:val="bg-BG"/>
        </w:rPr>
        <w:t>Показателни за успешните действия на митническите органи, а и на органите на МВР относно повишаване на приходите от акциз и борбата срещу незаконната търговия с тютюн и тютюневи изделия са резултатите за иззети и задържани стоки от групата, предмет на нарушение и престъпление. През 2017 г. са задържани 37.1 млн. къса цигари и 16 136 кг тютюн за пушене, с което са предотвратени щети за бюджета в размер на повече от 10.0 млн. лева.</w:t>
      </w:r>
      <w:r w:rsidR="009468F1">
        <w:rPr>
          <w:rFonts w:eastAsia="Times New Roman" w:cs="Times New Roman"/>
          <w:bCs/>
          <w:szCs w:val="24"/>
          <w:lang w:val="bg-BG"/>
        </w:rPr>
        <w:t xml:space="preserve"> </w:t>
      </w:r>
    </w:p>
    <w:p w:rsidR="009468F1" w:rsidRDefault="00650993" w:rsidP="004C454F">
      <w:pPr>
        <w:shd w:val="clear" w:color="auto" w:fill="FFFFFF" w:themeFill="background1"/>
        <w:spacing w:before="120" w:after="0"/>
        <w:ind w:firstLine="720"/>
        <w:jc w:val="both"/>
        <w:rPr>
          <w:rFonts w:eastAsia="Times New Roman" w:cs="Times New Roman"/>
          <w:bCs/>
          <w:szCs w:val="24"/>
          <w:lang w:val="bg-BG"/>
        </w:rPr>
      </w:pPr>
      <w:r>
        <w:rPr>
          <w:rFonts w:eastAsia="Times New Roman" w:cs="Times New Roman"/>
          <w:bCs/>
          <w:szCs w:val="24"/>
          <w:lang w:val="bg-BG"/>
        </w:rPr>
        <w:t>В заключение, данните изложени в анализа на приходите от акциз за цигари през 2017 г. налагат следните изводи:</w:t>
      </w:r>
    </w:p>
    <w:p w:rsidR="00650993" w:rsidRDefault="005D10AE" w:rsidP="004C454F">
      <w:pPr>
        <w:pStyle w:val="ListParagraph"/>
        <w:numPr>
          <w:ilvl w:val="0"/>
          <w:numId w:val="1"/>
        </w:numPr>
        <w:shd w:val="clear" w:color="auto" w:fill="FFFFFF" w:themeFill="background1"/>
        <w:spacing w:before="120" w:after="0"/>
        <w:jc w:val="both"/>
        <w:rPr>
          <w:rFonts w:eastAsia="Times New Roman" w:cs="Times New Roman"/>
          <w:bCs/>
          <w:szCs w:val="24"/>
          <w:lang w:val="bg-BG"/>
        </w:rPr>
      </w:pPr>
      <w:r>
        <w:rPr>
          <w:rFonts w:eastAsia="Times New Roman" w:cs="Times New Roman"/>
          <w:bCs/>
          <w:szCs w:val="24"/>
          <w:lang w:val="bg-BG"/>
        </w:rPr>
        <w:t>2017 г. е поредната година, в която приходите от акциз за тютюн и тютюневи изделия нарастват спрямо предходния отчетен период- с 2.8% в сравнение с 2016 г.;</w:t>
      </w:r>
    </w:p>
    <w:p w:rsidR="003F0BFE" w:rsidRDefault="003F0BFE" w:rsidP="004C454F">
      <w:pPr>
        <w:pStyle w:val="ListParagraph"/>
        <w:numPr>
          <w:ilvl w:val="0"/>
          <w:numId w:val="1"/>
        </w:numPr>
        <w:shd w:val="clear" w:color="auto" w:fill="FFFFFF" w:themeFill="background1"/>
        <w:spacing w:before="120" w:after="0"/>
        <w:jc w:val="both"/>
        <w:rPr>
          <w:rFonts w:eastAsia="Times New Roman" w:cs="Times New Roman"/>
          <w:bCs/>
          <w:szCs w:val="24"/>
          <w:lang w:val="bg-BG"/>
        </w:rPr>
      </w:pPr>
      <w:r>
        <w:rPr>
          <w:rFonts w:eastAsia="Times New Roman" w:cs="Times New Roman"/>
          <w:bCs/>
          <w:szCs w:val="24"/>
          <w:lang w:val="bg-BG"/>
        </w:rPr>
        <w:t>увеличаването на минималните нива на облагане на цигарите през 2017 г. води до промяна в структурата на потребление на тютюневи  изделия, изразяваща се в ръст на освободените за потребление количества тютюн за пушене и други алтернативни продукти за сметка на освободените за потребление цигари;</w:t>
      </w:r>
    </w:p>
    <w:p w:rsidR="005D10AE" w:rsidRDefault="005D10AE" w:rsidP="004C454F">
      <w:pPr>
        <w:pStyle w:val="ListParagraph"/>
        <w:numPr>
          <w:ilvl w:val="0"/>
          <w:numId w:val="1"/>
        </w:numPr>
        <w:shd w:val="clear" w:color="auto" w:fill="FFFFFF" w:themeFill="background1"/>
        <w:spacing w:before="120" w:after="0"/>
        <w:jc w:val="both"/>
        <w:rPr>
          <w:rFonts w:eastAsia="Times New Roman" w:cs="Times New Roman"/>
          <w:bCs/>
          <w:szCs w:val="24"/>
          <w:lang w:val="bg-BG"/>
        </w:rPr>
      </w:pPr>
      <w:r>
        <w:rPr>
          <w:rFonts w:eastAsia="Times New Roman" w:cs="Times New Roman"/>
          <w:bCs/>
          <w:szCs w:val="24"/>
          <w:lang w:val="bg-BG"/>
        </w:rPr>
        <w:lastRenderedPageBreak/>
        <w:t>независимо от значителния ръст на приходите от акциз за цигари през месец януари, през първото полугодие на 2017 г. приходите от акциз за групата изостават от събраните за първото полугодие на 2016 г. със 150.1 млн. лева (12.5%);</w:t>
      </w:r>
    </w:p>
    <w:p w:rsidR="005D10AE" w:rsidRPr="004C454F" w:rsidRDefault="005D10AE" w:rsidP="004C454F">
      <w:pPr>
        <w:pStyle w:val="ListParagraph"/>
        <w:numPr>
          <w:ilvl w:val="0"/>
          <w:numId w:val="1"/>
        </w:numPr>
        <w:shd w:val="clear" w:color="auto" w:fill="FFFFFF" w:themeFill="background1"/>
        <w:spacing w:before="120" w:after="0"/>
        <w:jc w:val="both"/>
        <w:rPr>
          <w:rFonts w:eastAsia="Times New Roman" w:cs="Times New Roman"/>
          <w:bCs/>
          <w:szCs w:val="24"/>
          <w:lang w:val="bg-BG"/>
        </w:rPr>
      </w:pPr>
      <w:r>
        <w:rPr>
          <w:rFonts w:eastAsia="Times New Roman" w:cs="Times New Roman"/>
          <w:bCs/>
          <w:szCs w:val="24"/>
          <w:lang w:val="bg-BG"/>
        </w:rPr>
        <w:t xml:space="preserve">през месеците февруари, март и април 2017 г. (данъчни периоди) се регистрира непрекъснато изоставане на приходите от акциз за тютюн и тютюневи изделия спрямо събраните през съответните месеци на 2016 </w:t>
      </w:r>
      <w:r w:rsidRPr="004C454F">
        <w:rPr>
          <w:rFonts w:eastAsia="Times New Roman" w:cs="Times New Roman"/>
          <w:bCs/>
          <w:szCs w:val="24"/>
          <w:lang w:val="bg-BG"/>
        </w:rPr>
        <w:t xml:space="preserve">г., </w:t>
      </w:r>
      <w:r w:rsidR="0006156B" w:rsidRPr="004C454F">
        <w:rPr>
          <w:rFonts w:eastAsia="Times New Roman" w:cs="Times New Roman"/>
          <w:bCs/>
          <w:szCs w:val="24"/>
          <w:lang w:val="bg-BG"/>
        </w:rPr>
        <w:t>без за това да са налице</w:t>
      </w:r>
      <w:r w:rsidRPr="004C454F">
        <w:rPr>
          <w:rFonts w:eastAsia="Times New Roman" w:cs="Times New Roman"/>
          <w:bCs/>
          <w:szCs w:val="24"/>
          <w:lang w:val="bg-BG"/>
        </w:rPr>
        <w:t xml:space="preserve"> обективните пазарни потребности</w:t>
      </w:r>
      <w:r w:rsidR="0006156B" w:rsidRPr="004C454F">
        <w:rPr>
          <w:rFonts w:eastAsia="Times New Roman" w:cs="Times New Roman"/>
          <w:bCs/>
          <w:szCs w:val="24"/>
          <w:lang w:val="bg-BG"/>
        </w:rPr>
        <w:t>. Изоставането е главно за сметка на спада в освободените за потребление количества цигари, които за трите месеца намаляват с над 780.0 млн. къса спрямо същия период (данъчен) на 2016 г.</w:t>
      </w:r>
      <w:r w:rsidRPr="004C454F">
        <w:rPr>
          <w:rFonts w:eastAsia="Times New Roman" w:cs="Times New Roman"/>
          <w:bCs/>
          <w:szCs w:val="24"/>
          <w:lang w:val="bg-BG"/>
        </w:rPr>
        <w:t>;</w:t>
      </w:r>
    </w:p>
    <w:p w:rsidR="005D10AE" w:rsidRPr="00650993" w:rsidRDefault="0006156B" w:rsidP="004C454F">
      <w:pPr>
        <w:pStyle w:val="ListParagraph"/>
        <w:numPr>
          <w:ilvl w:val="0"/>
          <w:numId w:val="1"/>
        </w:numPr>
        <w:shd w:val="clear" w:color="auto" w:fill="FFFFFF" w:themeFill="background1"/>
        <w:spacing w:before="120" w:after="0"/>
        <w:jc w:val="both"/>
        <w:rPr>
          <w:rFonts w:eastAsia="Times New Roman" w:cs="Times New Roman"/>
          <w:bCs/>
          <w:szCs w:val="24"/>
          <w:lang w:val="bg-BG"/>
        </w:rPr>
      </w:pPr>
      <w:r w:rsidRPr="004C454F">
        <w:rPr>
          <w:rFonts w:eastAsia="Times New Roman" w:cs="Times New Roman"/>
          <w:bCs/>
          <w:szCs w:val="24"/>
          <w:lang w:val="bg-BG"/>
        </w:rPr>
        <w:t>през второто полугодие на 2017 г. приходите от акциз за тютюн и тютюневи изделия се увеличават с 19.5% спрямо</w:t>
      </w:r>
      <w:r>
        <w:rPr>
          <w:rFonts w:eastAsia="Times New Roman" w:cs="Times New Roman"/>
          <w:bCs/>
          <w:szCs w:val="24"/>
          <w:lang w:val="bg-BG"/>
        </w:rPr>
        <w:t xml:space="preserve"> същия период на 2016 г. като достигат 1 317.7 млн. лева, с 266.7 млн. лева (25.4%) над събраните през първото полугодие на 2017 година.</w:t>
      </w:r>
    </w:p>
    <w:p w:rsidR="004C454F" w:rsidRDefault="004C454F" w:rsidP="004C454F">
      <w:pPr>
        <w:shd w:val="clear" w:color="auto" w:fill="FFFFFF" w:themeFill="background1"/>
        <w:spacing w:before="120" w:after="0"/>
        <w:ind w:firstLine="720"/>
        <w:jc w:val="right"/>
        <w:rPr>
          <w:rFonts w:eastAsia="Times New Roman" w:cs="Times New Roman"/>
          <w:b/>
          <w:bCs/>
          <w:i/>
          <w:szCs w:val="24"/>
          <w:lang w:val="bg-BG"/>
        </w:rPr>
      </w:pPr>
    </w:p>
    <w:sectPr w:rsidR="004C454F" w:rsidSect="00DA57D9">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33" w:rsidRDefault="00C71033" w:rsidP="00C71033">
      <w:pPr>
        <w:spacing w:after="0" w:line="240" w:lineRule="auto"/>
      </w:pPr>
      <w:r>
        <w:separator/>
      </w:r>
    </w:p>
  </w:endnote>
  <w:endnote w:type="continuationSeparator" w:id="0">
    <w:p w:rsidR="00C71033" w:rsidRDefault="00C71033" w:rsidP="00C7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33" w:rsidRDefault="00C71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765950"/>
      <w:docPartObj>
        <w:docPartGallery w:val="Page Numbers (Bottom of Page)"/>
        <w:docPartUnique/>
      </w:docPartObj>
    </w:sdtPr>
    <w:sdtEndPr>
      <w:rPr>
        <w:noProof/>
      </w:rPr>
    </w:sdtEndPr>
    <w:sdtContent>
      <w:bookmarkStart w:id="0" w:name="_GoBack" w:displacedByCustomXml="prev"/>
      <w:bookmarkEnd w:id="0" w:displacedByCustomXml="prev"/>
      <w:p w:rsidR="00C71033" w:rsidRDefault="00C710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71033" w:rsidRDefault="00C710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33" w:rsidRDefault="00C71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33" w:rsidRDefault="00C71033" w:rsidP="00C71033">
      <w:pPr>
        <w:spacing w:after="0" w:line="240" w:lineRule="auto"/>
      </w:pPr>
      <w:r>
        <w:separator/>
      </w:r>
    </w:p>
  </w:footnote>
  <w:footnote w:type="continuationSeparator" w:id="0">
    <w:p w:rsidR="00C71033" w:rsidRDefault="00C71033" w:rsidP="00C71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33" w:rsidRDefault="00C71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33" w:rsidRDefault="00C710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33" w:rsidRDefault="00C71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253AA"/>
    <w:multiLevelType w:val="hybridMultilevel"/>
    <w:tmpl w:val="4F84E640"/>
    <w:lvl w:ilvl="0" w:tplc="B890220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4F"/>
    <w:rsid w:val="00021070"/>
    <w:rsid w:val="00037087"/>
    <w:rsid w:val="0006156B"/>
    <w:rsid w:val="00072013"/>
    <w:rsid w:val="0008481C"/>
    <w:rsid w:val="0010424F"/>
    <w:rsid w:val="00115F77"/>
    <w:rsid w:val="00141651"/>
    <w:rsid w:val="0017353E"/>
    <w:rsid w:val="00216C1C"/>
    <w:rsid w:val="00260429"/>
    <w:rsid w:val="002825BF"/>
    <w:rsid w:val="00321813"/>
    <w:rsid w:val="00322611"/>
    <w:rsid w:val="0032339D"/>
    <w:rsid w:val="00361DCB"/>
    <w:rsid w:val="003A179F"/>
    <w:rsid w:val="003B097F"/>
    <w:rsid w:val="003F0BFE"/>
    <w:rsid w:val="0040010E"/>
    <w:rsid w:val="00412B82"/>
    <w:rsid w:val="004B71DB"/>
    <w:rsid w:val="004C454F"/>
    <w:rsid w:val="004C6E62"/>
    <w:rsid w:val="004D1B20"/>
    <w:rsid w:val="004F4F14"/>
    <w:rsid w:val="00500C55"/>
    <w:rsid w:val="005142D7"/>
    <w:rsid w:val="00516F44"/>
    <w:rsid w:val="00527C2A"/>
    <w:rsid w:val="005D10AE"/>
    <w:rsid w:val="00650993"/>
    <w:rsid w:val="00657805"/>
    <w:rsid w:val="006A0101"/>
    <w:rsid w:val="006A33CD"/>
    <w:rsid w:val="00700351"/>
    <w:rsid w:val="0071051F"/>
    <w:rsid w:val="00713364"/>
    <w:rsid w:val="00766C31"/>
    <w:rsid w:val="007860A4"/>
    <w:rsid w:val="007928EF"/>
    <w:rsid w:val="00797586"/>
    <w:rsid w:val="007D5F52"/>
    <w:rsid w:val="008A62F9"/>
    <w:rsid w:val="008B7BAB"/>
    <w:rsid w:val="00933F32"/>
    <w:rsid w:val="009468F1"/>
    <w:rsid w:val="00951E9F"/>
    <w:rsid w:val="00956A31"/>
    <w:rsid w:val="009C0FDE"/>
    <w:rsid w:val="00A03F57"/>
    <w:rsid w:val="00A07A99"/>
    <w:rsid w:val="00A1748B"/>
    <w:rsid w:val="00B333CF"/>
    <w:rsid w:val="00B47716"/>
    <w:rsid w:val="00B532A7"/>
    <w:rsid w:val="00B66242"/>
    <w:rsid w:val="00BE3F9A"/>
    <w:rsid w:val="00C71033"/>
    <w:rsid w:val="00C73175"/>
    <w:rsid w:val="00C77907"/>
    <w:rsid w:val="00CE3351"/>
    <w:rsid w:val="00D8015F"/>
    <w:rsid w:val="00D84575"/>
    <w:rsid w:val="00D9480C"/>
    <w:rsid w:val="00DA57D9"/>
    <w:rsid w:val="00DC7E7E"/>
    <w:rsid w:val="00DF1567"/>
    <w:rsid w:val="00E27AB5"/>
    <w:rsid w:val="00E61A7F"/>
    <w:rsid w:val="00E86155"/>
    <w:rsid w:val="00F067CD"/>
    <w:rsid w:val="00F11022"/>
    <w:rsid w:val="00F70B0E"/>
    <w:rsid w:val="00F93104"/>
    <w:rsid w:val="00F93158"/>
    <w:rsid w:val="00F9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1F946-80B8-4A6E-B9E4-87F97ECD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AB5"/>
    <w:pPr>
      <w:ind w:left="720"/>
      <w:contextualSpacing/>
    </w:pPr>
  </w:style>
  <w:style w:type="paragraph" w:styleId="BalloonText">
    <w:name w:val="Balloon Text"/>
    <w:basedOn w:val="Normal"/>
    <w:link w:val="BalloonTextChar"/>
    <w:uiPriority w:val="99"/>
    <w:semiHidden/>
    <w:unhideWhenUsed/>
    <w:rsid w:val="00361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DCB"/>
    <w:rPr>
      <w:rFonts w:ascii="Segoe UI" w:hAnsi="Segoe UI" w:cs="Segoe UI"/>
      <w:sz w:val="18"/>
      <w:szCs w:val="18"/>
    </w:rPr>
  </w:style>
  <w:style w:type="paragraph" w:styleId="Header">
    <w:name w:val="header"/>
    <w:basedOn w:val="Normal"/>
    <w:link w:val="HeaderChar"/>
    <w:uiPriority w:val="99"/>
    <w:unhideWhenUsed/>
    <w:rsid w:val="00C7103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71033"/>
  </w:style>
  <w:style w:type="paragraph" w:styleId="Footer">
    <w:name w:val="footer"/>
    <w:basedOn w:val="Normal"/>
    <w:link w:val="FooterChar"/>
    <w:uiPriority w:val="99"/>
    <w:unhideWhenUsed/>
    <w:rsid w:val="00C7103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1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0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Приходи!$A$4</c:f>
              <c:strCache>
                <c:ptCount val="1"/>
                <c:pt idx="0">
                  <c:v>2017 г.</c:v>
                </c:pt>
              </c:strCache>
            </c:strRef>
          </c:tx>
          <c:spPr>
            <a:solidFill>
              <a:schemeClr val="accent5">
                <a:lumMod val="75000"/>
              </a:schemeClr>
            </a:solidFill>
            <a:ln>
              <a:noFill/>
            </a:ln>
            <a:effectLst/>
            <a:scene3d>
              <a:camera prst="orthographicFront"/>
              <a:lightRig rig="threePt" dir="t"/>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Приходи!$B$3:$M$3</c:f>
              <c:strCache>
                <c:ptCount val="12"/>
                <c:pt idx="0">
                  <c:v>Януари</c:v>
                </c:pt>
                <c:pt idx="1">
                  <c:v>Февруари</c:v>
                </c:pt>
                <c:pt idx="2">
                  <c:v>Март</c:v>
                </c:pt>
                <c:pt idx="3">
                  <c:v>Април</c:v>
                </c:pt>
                <c:pt idx="4">
                  <c:v>Май</c:v>
                </c:pt>
                <c:pt idx="5">
                  <c:v>Юни</c:v>
                </c:pt>
                <c:pt idx="6">
                  <c:v>Юли</c:v>
                </c:pt>
                <c:pt idx="7">
                  <c:v>Август</c:v>
                </c:pt>
                <c:pt idx="8">
                  <c:v>Септември</c:v>
                </c:pt>
                <c:pt idx="9">
                  <c:v>Октомври</c:v>
                </c:pt>
                <c:pt idx="10">
                  <c:v>Ноември</c:v>
                </c:pt>
                <c:pt idx="11">
                  <c:v>Декември</c:v>
                </c:pt>
              </c:strCache>
            </c:strRef>
          </c:cat>
          <c:val>
            <c:numRef>
              <c:f>Приходи!$B$4:$M$4</c:f>
              <c:numCache>
                <c:formatCode>#\ ##0.0</c:formatCode>
                <c:ptCount val="12"/>
                <c:pt idx="0">
                  <c:v>421.32901822000002</c:v>
                </c:pt>
                <c:pt idx="1">
                  <c:v>65.441184939999999</c:v>
                </c:pt>
                <c:pt idx="2">
                  <c:v>74.894603559999993</c:v>
                </c:pt>
                <c:pt idx="3">
                  <c:v>116.56271783000003</c:v>
                </c:pt>
                <c:pt idx="4">
                  <c:v>170.16480846000002</c:v>
                </c:pt>
                <c:pt idx="5">
                  <c:v>202.54423890999993</c:v>
                </c:pt>
                <c:pt idx="6">
                  <c:v>221.63461097000001</c:v>
                </c:pt>
                <c:pt idx="7">
                  <c:v>222.18754400000006</c:v>
                </c:pt>
                <c:pt idx="8">
                  <c:v>241.87634255</c:v>
                </c:pt>
                <c:pt idx="9">
                  <c:v>210.89260967999996</c:v>
                </c:pt>
                <c:pt idx="10">
                  <c:v>202.75670969000001</c:v>
                </c:pt>
                <c:pt idx="11">
                  <c:v>218.33390042000002</c:v>
                </c:pt>
              </c:numCache>
            </c:numRef>
          </c:val>
        </c:ser>
        <c:ser>
          <c:idx val="1"/>
          <c:order val="1"/>
          <c:tx>
            <c:strRef>
              <c:f>Приходи!$A$5</c:f>
              <c:strCache>
                <c:ptCount val="1"/>
                <c:pt idx="0">
                  <c:v>2016 г.</c:v>
                </c:pt>
              </c:strCache>
            </c:strRef>
          </c:tx>
          <c:spPr>
            <a:solidFill>
              <a:schemeClr val="accent6">
                <a:lumMod val="60000"/>
                <a:lumOff val="40000"/>
              </a:schemeClr>
            </a:solidFill>
            <a:ln>
              <a:noFill/>
            </a:ln>
            <a:effectLst/>
            <a:scene3d>
              <a:camera prst="orthographicFront"/>
              <a:lightRig rig="threePt" dir="t"/>
            </a:scene3d>
            <a:sp3d prstMaterial="flat"/>
          </c:spPr>
          <c:invertIfNegative val="0"/>
          <c:dLbls>
            <c:dLbl>
              <c:idx val="0"/>
              <c:layout>
                <c:manualLayout>
                  <c:x val="2.2566995768688293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686412787964268E-2"/>
                  <c:y val="3.992015968063871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5153974921644593E-2"/>
                  <c:y val="7.984073013600573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6925246826516221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659750796331878E-2"/>
                  <c:y val="8.712121212121212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6925246826516221E-2"/>
                  <c:y val="-7.3186113962270621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1.7034444983980292E-2"/>
                  <c:y val="6.08100691958958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2.8208744710860368E-2"/>
                  <c:y val="1.197604790419161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Приходи!$B$3:$M$3</c:f>
              <c:strCache>
                <c:ptCount val="12"/>
                <c:pt idx="0">
                  <c:v>Януари</c:v>
                </c:pt>
                <c:pt idx="1">
                  <c:v>Февруари</c:v>
                </c:pt>
                <c:pt idx="2">
                  <c:v>Март</c:v>
                </c:pt>
                <c:pt idx="3">
                  <c:v>Април</c:v>
                </c:pt>
                <c:pt idx="4">
                  <c:v>Май</c:v>
                </c:pt>
                <c:pt idx="5">
                  <c:v>Юни</c:v>
                </c:pt>
                <c:pt idx="6">
                  <c:v>Юли</c:v>
                </c:pt>
                <c:pt idx="7">
                  <c:v>Август</c:v>
                </c:pt>
                <c:pt idx="8">
                  <c:v>Септември</c:v>
                </c:pt>
                <c:pt idx="9">
                  <c:v>Октомври</c:v>
                </c:pt>
                <c:pt idx="10">
                  <c:v>Ноември</c:v>
                </c:pt>
                <c:pt idx="11">
                  <c:v>Декември</c:v>
                </c:pt>
              </c:strCache>
            </c:strRef>
          </c:cat>
          <c:val>
            <c:numRef>
              <c:f>Приходи!$B$5:$M$5</c:f>
              <c:numCache>
                <c:formatCode>#\ ##0.0</c:formatCode>
                <c:ptCount val="12"/>
                <c:pt idx="0">
                  <c:v>348.4168583</c:v>
                </c:pt>
                <c:pt idx="1">
                  <c:v>46.490225309999992</c:v>
                </c:pt>
                <c:pt idx="2">
                  <c:v>108.71488942000001</c:v>
                </c:pt>
                <c:pt idx="3">
                  <c:v>164.70652752000001</c:v>
                </c:pt>
                <c:pt idx="4">
                  <c:v>205.95480806</c:v>
                </c:pt>
                <c:pt idx="5">
                  <c:v>326.76280868999993</c:v>
                </c:pt>
                <c:pt idx="6">
                  <c:v>150.36413348000002</c:v>
                </c:pt>
                <c:pt idx="7">
                  <c:v>163.98163284000003</c:v>
                </c:pt>
                <c:pt idx="8">
                  <c:v>201.21173051000002</c:v>
                </c:pt>
                <c:pt idx="9">
                  <c:v>183.31639904999997</c:v>
                </c:pt>
                <c:pt idx="10">
                  <c:v>187.28187050999995</c:v>
                </c:pt>
                <c:pt idx="11">
                  <c:v>216.82211011999996</c:v>
                </c:pt>
              </c:numCache>
            </c:numRef>
          </c:val>
        </c:ser>
        <c:dLbls>
          <c:showLegendKey val="0"/>
          <c:showVal val="0"/>
          <c:showCatName val="0"/>
          <c:showSerName val="0"/>
          <c:showPercent val="0"/>
          <c:showBubbleSize val="0"/>
        </c:dLbls>
        <c:gapWidth val="150"/>
        <c:shape val="box"/>
        <c:axId val="491604880"/>
        <c:axId val="491604320"/>
        <c:axId val="0"/>
      </c:bar3DChart>
      <c:catAx>
        <c:axId val="4916048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crossAx val="491604320"/>
        <c:crosses val="autoZero"/>
        <c:auto val="1"/>
        <c:lblAlgn val="ctr"/>
        <c:lblOffset val="100"/>
        <c:noMultiLvlLbl val="0"/>
      </c:catAx>
      <c:valAx>
        <c:axId val="491604320"/>
        <c:scaling>
          <c:orientation val="minMax"/>
        </c:scaling>
        <c:delete val="0"/>
        <c:axPos val="l"/>
        <c:majorGridlines>
          <c:spPr>
            <a:ln w="9525" cap="flat" cmpd="sng" algn="ctr">
              <a:solidFill>
                <a:schemeClr val="tx2">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en-US"/>
          </a:p>
        </c:txPr>
        <c:crossAx val="491604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baseline="0">
          <a:latin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Цигари!$A$4</c:f>
              <c:strCache>
                <c:ptCount val="1"/>
                <c:pt idx="0">
                  <c:v>приходи 2017 г.</c:v>
                </c:pt>
              </c:strCache>
            </c:strRef>
          </c:tx>
          <c:spPr>
            <a:solidFill>
              <a:schemeClr val="accent1"/>
            </a:solidFill>
            <a:ln>
              <a:noFill/>
            </a:ln>
            <a:effectLst/>
          </c:spPr>
          <c:invertIfNegative val="0"/>
          <c:dLbls>
            <c:dLbl>
              <c:idx val="5"/>
              <c:layout>
                <c:manualLayout>
                  <c:x val="-1.1265338252235359E-2"/>
                  <c:y val="7.7071290944123313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9.6560042162017364E-3"/>
                  <c:y val="3.082851637764932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Цигари!$B$3:$M$3</c:f>
              <c:strCache>
                <c:ptCount val="12"/>
                <c:pt idx="0">
                  <c:v>Януари</c:v>
                </c:pt>
                <c:pt idx="1">
                  <c:v>Февруари</c:v>
                </c:pt>
                <c:pt idx="2">
                  <c:v>Март</c:v>
                </c:pt>
                <c:pt idx="3">
                  <c:v>Април</c:v>
                </c:pt>
                <c:pt idx="4">
                  <c:v>Май</c:v>
                </c:pt>
                <c:pt idx="5">
                  <c:v>Юни</c:v>
                </c:pt>
                <c:pt idx="6">
                  <c:v>Юли</c:v>
                </c:pt>
                <c:pt idx="7">
                  <c:v>Август</c:v>
                </c:pt>
                <c:pt idx="8">
                  <c:v>Септември</c:v>
                </c:pt>
                <c:pt idx="9">
                  <c:v>Октомври</c:v>
                </c:pt>
                <c:pt idx="10">
                  <c:v>Ноември</c:v>
                </c:pt>
                <c:pt idx="11">
                  <c:v>Декември</c:v>
                </c:pt>
              </c:strCache>
            </c:strRef>
          </c:cat>
          <c:val>
            <c:numRef>
              <c:f>Цигари!$B$4:$M$4</c:f>
              <c:numCache>
                <c:formatCode>#\ ##0.0</c:formatCode>
                <c:ptCount val="12"/>
                <c:pt idx="0">
                  <c:v>415.56959939000006</c:v>
                </c:pt>
                <c:pt idx="1">
                  <c:v>63.077032819999999</c:v>
                </c:pt>
                <c:pt idx="2">
                  <c:v>72.592160890000002</c:v>
                </c:pt>
                <c:pt idx="3">
                  <c:v>112.63836589000003</c:v>
                </c:pt>
                <c:pt idx="4">
                  <c:v>167.16724254999997</c:v>
                </c:pt>
                <c:pt idx="5">
                  <c:v>198.34317556999994</c:v>
                </c:pt>
                <c:pt idx="6">
                  <c:v>216.58454943999999</c:v>
                </c:pt>
                <c:pt idx="7">
                  <c:v>216.96763148000005</c:v>
                </c:pt>
                <c:pt idx="8">
                  <c:v>237.16888155999999</c:v>
                </c:pt>
                <c:pt idx="9">
                  <c:v>205.88457201</c:v>
                </c:pt>
                <c:pt idx="10">
                  <c:v>197.95666514999996</c:v>
                </c:pt>
                <c:pt idx="11">
                  <c:v>213.85111437999998</c:v>
                </c:pt>
              </c:numCache>
            </c:numRef>
          </c:val>
        </c:ser>
        <c:ser>
          <c:idx val="1"/>
          <c:order val="1"/>
          <c:tx>
            <c:strRef>
              <c:f>Цигари!$A$5</c:f>
              <c:strCache>
                <c:ptCount val="1"/>
                <c:pt idx="0">
                  <c:v>приходи 2016 г.</c:v>
                </c:pt>
              </c:strCache>
            </c:strRef>
          </c:tx>
          <c:spPr>
            <a:solidFill>
              <a:schemeClr val="accent2">
                <a:lumMod val="60000"/>
                <a:lumOff val="40000"/>
              </a:schemeClr>
            </a:solidFill>
            <a:ln>
              <a:noFill/>
            </a:ln>
            <a:effectLst/>
          </c:spPr>
          <c:invertIfNegative val="0"/>
          <c:dLbls>
            <c:dLbl>
              <c:idx val="0"/>
              <c:layout>
                <c:manualLayout>
                  <c:x val="0"/>
                  <c:y val="0.252901248615599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4484006324302634E-2"/>
                  <c:y val="-2.2801571768846743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702674396369848E-2"/>
                  <c:y val="0.191915100207849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2186680720672455E-3"/>
                  <c:y val="0.2207980216345789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6093340360336227E-2"/>
                  <c:y val="0.1714180814103438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Цигари!$B$3:$M$3</c:f>
              <c:strCache>
                <c:ptCount val="12"/>
                <c:pt idx="0">
                  <c:v>Януари</c:v>
                </c:pt>
                <c:pt idx="1">
                  <c:v>Февруари</c:v>
                </c:pt>
                <c:pt idx="2">
                  <c:v>Март</c:v>
                </c:pt>
                <c:pt idx="3">
                  <c:v>Април</c:v>
                </c:pt>
                <c:pt idx="4">
                  <c:v>Май</c:v>
                </c:pt>
                <c:pt idx="5">
                  <c:v>Юни</c:v>
                </c:pt>
                <c:pt idx="6">
                  <c:v>Юли</c:v>
                </c:pt>
                <c:pt idx="7">
                  <c:v>Август</c:v>
                </c:pt>
                <c:pt idx="8">
                  <c:v>Септември</c:v>
                </c:pt>
                <c:pt idx="9">
                  <c:v>Октомври</c:v>
                </c:pt>
                <c:pt idx="10">
                  <c:v>Ноември</c:v>
                </c:pt>
                <c:pt idx="11">
                  <c:v>Декември</c:v>
                </c:pt>
              </c:strCache>
            </c:strRef>
          </c:cat>
          <c:val>
            <c:numRef>
              <c:f>Цигари!$B$5:$M$5</c:f>
              <c:numCache>
                <c:formatCode>#\ ##0.0</c:formatCode>
                <c:ptCount val="12"/>
                <c:pt idx="0">
                  <c:v>344.43069577</c:v>
                </c:pt>
                <c:pt idx="1">
                  <c:v>44.86067955</c:v>
                </c:pt>
                <c:pt idx="2">
                  <c:v>105.60687048</c:v>
                </c:pt>
                <c:pt idx="3">
                  <c:v>161.04998572</c:v>
                </c:pt>
                <c:pt idx="4">
                  <c:v>202.10390452000001</c:v>
                </c:pt>
                <c:pt idx="5">
                  <c:v>321.78175515999999</c:v>
                </c:pt>
                <c:pt idx="6">
                  <c:v>147.15337372000002</c:v>
                </c:pt>
                <c:pt idx="7">
                  <c:v>161.18472812000002</c:v>
                </c:pt>
                <c:pt idx="8">
                  <c:v>197.14834829</c:v>
                </c:pt>
                <c:pt idx="9">
                  <c:v>179.44339829999998</c:v>
                </c:pt>
                <c:pt idx="10">
                  <c:v>183.09774851999998</c:v>
                </c:pt>
                <c:pt idx="11">
                  <c:v>213.11716150000001</c:v>
                </c:pt>
              </c:numCache>
            </c:numRef>
          </c:val>
        </c:ser>
        <c:dLbls>
          <c:showLegendKey val="0"/>
          <c:showVal val="0"/>
          <c:showCatName val="0"/>
          <c:showSerName val="0"/>
          <c:showPercent val="0"/>
          <c:showBubbleSize val="0"/>
        </c:dLbls>
        <c:gapWidth val="150"/>
        <c:axId val="491611600"/>
        <c:axId val="491612160"/>
      </c:barChart>
      <c:lineChart>
        <c:grouping val="standard"/>
        <c:varyColors val="0"/>
        <c:ser>
          <c:idx val="4"/>
          <c:order val="2"/>
          <c:tx>
            <c:strRef>
              <c:f>Цигари!$A$6</c:f>
              <c:strCache>
                <c:ptCount val="1"/>
                <c:pt idx="0">
                  <c:v>Освободени за потребление количества през 2017 г. (млн. къса)</c:v>
                </c:pt>
              </c:strCache>
            </c:strRef>
          </c:tx>
          <c:spPr>
            <a:ln w="28575" cap="rnd">
              <a:solidFill>
                <a:schemeClr val="accent2">
                  <a:lumMod val="50000"/>
                </a:schemeClr>
              </a:solidFill>
              <a:round/>
            </a:ln>
            <a:effectLst/>
          </c:spPr>
          <c:marker>
            <c:symbol val="none"/>
          </c:marker>
          <c:val>
            <c:numRef>
              <c:f>Цигари!$B$6:$M$6</c:f>
              <c:numCache>
                <c:formatCode>#\ ##0.0</c:formatCode>
                <c:ptCount val="12"/>
                <c:pt idx="0">
                  <c:v>2542.6195530000009</c:v>
                </c:pt>
                <c:pt idx="1">
                  <c:v>368.42618799999997</c:v>
                </c:pt>
                <c:pt idx="2">
                  <c:v>423.82711999999992</c:v>
                </c:pt>
                <c:pt idx="3">
                  <c:v>659.27057999999977</c:v>
                </c:pt>
                <c:pt idx="4">
                  <c:v>981.38385999999957</c:v>
                </c:pt>
                <c:pt idx="5">
                  <c:v>1166.0564199999999</c:v>
                </c:pt>
                <c:pt idx="6">
                  <c:v>1272.5869800000003</c:v>
                </c:pt>
                <c:pt idx="7">
                  <c:v>1273.773299</c:v>
                </c:pt>
                <c:pt idx="8">
                  <c:v>1393.62464</c:v>
                </c:pt>
                <c:pt idx="9">
                  <c:v>1208.7887999999994</c:v>
                </c:pt>
                <c:pt idx="10">
                  <c:v>1161.8763999999996</c:v>
                </c:pt>
                <c:pt idx="11">
                  <c:v>1253.0215599999999</c:v>
                </c:pt>
              </c:numCache>
            </c:numRef>
          </c:val>
          <c:smooth val="1"/>
        </c:ser>
        <c:dLbls>
          <c:showLegendKey val="0"/>
          <c:showVal val="0"/>
          <c:showCatName val="0"/>
          <c:showSerName val="0"/>
          <c:showPercent val="0"/>
          <c:showBubbleSize val="0"/>
        </c:dLbls>
        <c:marker val="1"/>
        <c:smooth val="0"/>
        <c:axId val="491613280"/>
        <c:axId val="491612720"/>
      </c:lineChart>
      <c:catAx>
        <c:axId val="49161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crossAx val="491612160"/>
        <c:crosses val="autoZero"/>
        <c:auto val="1"/>
        <c:lblAlgn val="ctr"/>
        <c:lblOffset val="100"/>
        <c:noMultiLvlLbl val="0"/>
      </c:catAx>
      <c:valAx>
        <c:axId val="491612160"/>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crossAx val="491611600"/>
        <c:crosses val="autoZero"/>
        <c:crossBetween val="between"/>
      </c:valAx>
      <c:valAx>
        <c:axId val="491612720"/>
        <c:scaling>
          <c:orientation val="minMax"/>
        </c:scaling>
        <c:delete val="0"/>
        <c:axPos val="r"/>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crossAx val="491613280"/>
        <c:crosses val="max"/>
        <c:crossBetween val="between"/>
      </c:valAx>
      <c:catAx>
        <c:axId val="491613280"/>
        <c:scaling>
          <c:orientation val="minMax"/>
        </c:scaling>
        <c:delete val="1"/>
        <c:axPos val="b"/>
        <c:majorTickMark val="none"/>
        <c:minorTickMark val="none"/>
        <c:tickLblPos val="nextTo"/>
        <c:crossAx val="49161272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i="0"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46560459012391"/>
          <c:y val="6.4865676600551508E-2"/>
          <c:w val="0.77520432765671732"/>
          <c:h val="0.80053530017608554"/>
        </c:manualLayout>
      </c:layout>
      <c:bar3DChart>
        <c:barDir val="bar"/>
        <c:grouping val="percentStacked"/>
        <c:varyColors val="0"/>
        <c:ser>
          <c:idx val="0"/>
          <c:order val="0"/>
          <c:tx>
            <c:strRef>
              <c:f>Полугодие!$B$1</c:f>
              <c:strCache>
                <c:ptCount val="1"/>
                <c:pt idx="0">
                  <c:v>Първо полугодие</c:v>
                </c:pt>
              </c:strCache>
            </c:strRef>
          </c:tx>
          <c:spPr>
            <a:solidFill>
              <a:schemeClr val="bg2">
                <a:lumMod val="75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Полугодие!$A$3:$A$6</c:f>
              <c:strCache>
                <c:ptCount val="4"/>
                <c:pt idx="0">
                  <c:v>Тютюневи изделия</c:v>
                </c:pt>
                <c:pt idx="1">
                  <c:v>цигари</c:v>
                </c:pt>
                <c:pt idx="2">
                  <c:v>тютюн за пушене</c:v>
                </c:pt>
                <c:pt idx="3">
                  <c:v>пури и пурети</c:v>
                </c:pt>
              </c:strCache>
            </c:strRef>
          </c:cat>
          <c:val>
            <c:numRef>
              <c:f>Полугодие!$C$3:$C$6</c:f>
              <c:numCache>
                <c:formatCode>#\ ##0.0</c:formatCode>
                <c:ptCount val="4"/>
                <c:pt idx="0">
                  <c:v>1050.93657192</c:v>
                </c:pt>
                <c:pt idx="1">
                  <c:v>1029.3875771099999</c:v>
                </c:pt>
                <c:pt idx="2">
                  <c:v>20.418410039999998</c:v>
                </c:pt>
                <c:pt idx="3">
                  <c:v>1.06913898</c:v>
                </c:pt>
              </c:numCache>
            </c:numRef>
          </c:val>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Полугодие!$A$3:$A$6</c:f>
              <c:strCache>
                <c:ptCount val="4"/>
                <c:pt idx="0">
                  <c:v>Тютюневи изделия</c:v>
                </c:pt>
                <c:pt idx="1">
                  <c:v>цигари</c:v>
                </c:pt>
                <c:pt idx="2">
                  <c:v>тютюн за пушене</c:v>
                </c:pt>
                <c:pt idx="3">
                  <c:v>пури и пурети</c:v>
                </c:pt>
              </c:strCache>
            </c:strRef>
          </c:cat>
          <c:val>
            <c:numRef>
              <c:f>Полугодие!$D$3:$D$6</c:f>
            </c:numRef>
          </c:val>
        </c:ser>
        <c:ser>
          <c:idx val="2"/>
          <c:order val="2"/>
          <c:tx>
            <c:strRef>
              <c:f>Полугодие!$D$1</c:f>
              <c:strCache>
                <c:ptCount val="1"/>
                <c:pt idx="0">
                  <c:v>Второ полугодие</c:v>
                </c:pt>
              </c:strCache>
            </c:strRef>
          </c:tx>
          <c:spPr>
            <a:solidFill>
              <a:schemeClr val="accent5">
                <a:lumMod val="60000"/>
                <a:lumOff val="40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Полугодие!$A$3:$A$6</c:f>
              <c:strCache>
                <c:ptCount val="4"/>
                <c:pt idx="0">
                  <c:v>Тютюневи изделия</c:v>
                </c:pt>
                <c:pt idx="1">
                  <c:v>цигари</c:v>
                </c:pt>
                <c:pt idx="2">
                  <c:v>тютюн за пушене</c:v>
                </c:pt>
                <c:pt idx="3">
                  <c:v>пури и пурети</c:v>
                </c:pt>
              </c:strCache>
            </c:strRef>
          </c:cat>
          <c:val>
            <c:numRef>
              <c:f>Полугодие!$E$3:$E$6</c:f>
              <c:numCache>
                <c:formatCode>#\ ##0.0</c:formatCode>
                <c:ptCount val="4"/>
                <c:pt idx="0">
                  <c:v>1317.6817173100001</c:v>
                </c:pt>
                <c:pt idx="1">
                  <c:v>1288.4134140199999</c:v>
                </c:pt>
                <c:pt idx="2">
                  <c:v>28.06894862</c:v>
                </c:pt>
                <c:pt idx="3">
                  <c:v>1.3525192000000001</c:v>
                </c:pt>
              </c:numCache>
            </c:numRef>
          </c:val>
        </c:ser>
        <c:dLbls>
          <c:showLegendKey val="0"/>
          <c:showVal val="0"/>
          <c:showCatName val="0"/>
          <c:showSerName val="0"/>
          <c:showPercent val="0"/>
          <c:showBubbleSize val="0"/>
        </c:dLbls>
        <c:gapWidth val="150"/>
        <c:shape val="box"/>
        <c:axId val="491616640"/>
        <c:axId val="491617200"/>
        <c:axId val="0"/>
      </c:bar3DChart>
      <c:catAx>
        <c:axId val="49161664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crossAx val="491617200"/>
        <c:crosses val="autoZero"/>
        <c:auto val="1"/>
        <c:lblAlgn val="ctr"/>
        <c:lblOffset val="100"/>
        <c:noMultiLvlLbl val="0"/>
      </c:catAx>
      <c:valAx>
        <c:axId val="4916172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crossAx val="491616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i="0" baseline="0">
          <a:solidFill>
            <a:sysClr val="windowText" lastClr="000000"/>
          </a:solidFill>
          <a:latin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2B830-B798-40A1-A94A-D342E4F7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7</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А.Борисов</dc:creator>
  <cp:keywords/>
  <dc:description/>
  <cp:lastModifiedBy>Елена М.Карачорова</cp:lastModifiedBy>
  <cp:revision>29</cp:revision>
  <cp:lastPrinted>2018-02-08T10:32:00Z</cp:lastPrinted>
  <dcterms:created xsi:type="dcterms:W3CDTF">2018-02-07T15:25:00Z</dcterms:created>
  <dcterms:modified xsi:type="dcterms:W3CDTF">2018-02-08T11:07:00Z</dcterms:modified>
</cp:coreProperties>
</file>